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left"/>
        <w:tabs>
          <w:tab w:val="left" w:pos="807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«ПРОЕКТ»</w:t>
      </w:r>
      <w:r>
        <w:rPr>
          <w:rFonts w:ascii="Times New Roman" w:hAnsi="Times New Roman"/>
          <w:szCs w:val="24"/>
        </w:rPr>
      </w:r>
    </w:p>
    <w:p>
      <w:pPr>
        <w:pStyle w:val="685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85"/>
        <w:rPr>
          <w:szCs w:val="24"/>
        </w:rPr>
      </w:pP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0995" cy="464185"/>
                <wp:effectExtent l="19050" t="0" r="190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099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85pt;height:36.5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zCs w:val="24"/>
        </w:rPr>
      </w:r>
    </w:p>
    <w:p>
      <w:pPr>
        <w:pStyle w:val="68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/>
          <w:szCs w:val="24"/>
        </w:rPr>
      </w:r>
    </w:p>
    <w:p>
      <w:pPr>
        <w:pStyle w:val="68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ТЮМЕНСКАЯ ОБЛАСТЬ</w:t>
      </w:r>
      <w:r>
        <w:rPr>
          <w:rFonts w:ascii="Times New Roman" w:hAnsi="Times New Roman"/>
          <w:szCs w:val="24"/>
        </w:rPr>
      </w:r>
    </w:p>
    <w:p>
      <w:pPr>
        <w:pStyle w:val="68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/>
          <w:szCs w:val="24"/>
        </w:rPr>
      </w:r>
    </w:p>
    <w:p>
      <w:pPr>
        <w:pStyle w:val="687"/>
        <w:rPr>
          <w:color w:val="auto"/>
          <w:szCs w:val="24"/>
        </w:rPr>
      </w:pPr>
      <w:r>
        <w:rPr>
          <w:color w:val="auto"/>
          <w:szCs w:val="24"/>
        </w:rPr>
        <w:t xml:space="preserve">ДУМА </w:t>
      </w:r>
      <w:r>
        <w:rPr>
          <w:color w:val="auto"/>
          <w:szCs w:val="24"/>
        </w:rPr>
        <w:t xml:space="preserve">ГОРОДА МЕГИОНА</w:t>
      </w:r>
      <w:r>
        <w:rPr>
          <w:color w:val="auto"/>
          <w:szCs w:val="24"/>
        </w:rPr>
      </w:r>
    </w:p>
    <w:p>
      <w:pPr>
        <w:pStyle w:val="687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jc w:val="center"/>
        <w:keepNext/>
        <w:rPr>
          <w:b/>
        </w:rPr>
        <w:outlineLvl w:val="1"/>
      </w:pPr>
      <w:r>
        <w:rPr>
          <w:b/>
        </w:rPr>
        <w:t xml:space="preserve">РЕШЕНИЕ</w:t>
      </w:r>
      <w:r>
        <w:rPr>
          <w:b/>
        </w:rPr>
      </w:r>
    </w:p>
    <w:p>
      <w:pPr>
        <w:jc w:val="center"/>
        <w:keepNext/>
        <w:outlineLvl w:val="1"/>
      </w:pPr>
      <w:r/>
      <w:r/>
    </w:p>
    <w:p>
      <w:r>
        <w:t xml:space="preserve">«_____»_______________20___                                                                                  №_______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427"/>
      </w:tblGrid>
      <w:tr>
        <w:tblPrEx/>
        <w:trPr>
          <w:trHeight w:val="10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7" w:type="dxa"/>
            <w:textDirection w:val="lrTb"/>
            <w:noWrap w:val="false"/>
          </w:tcPr>
          <w:p>
            <w:r/>
            <w:r/>
          </w:p>
          <w:p>
            <w:pPr>
              <w:jc w:val="both"/>
            </w:pPr>
            <w:r>
              <w:t xml:space="preserve">О</w:t>
            </w:r>
            <w:r>
              <w:t xml:space="preserve"> внесении изменени</w:t>
            </w:r>
            <w:r>
              <w:t xml:space="preserve">й</w:t>
            </w:r>
            <w:r>
              <w:t xml:space="preserve"> в</w:t>
            </w:r>
            <w:r>
              <w:t xml:space="preserve"> </w:t>
            </w:r>
            <w:r>
              <w:t xml:space="preserve">решение Думы города Мегиона от </w:t>
            </w:r>
            <w:r>
              <w:t xml:space="preserve">2</w:t>
            </w:r>
            <w:r>
              <w:t xml:space="preserve">3</w:t>
            </w:r>
            <w:r>
              <w:t xml:space="preserve">.</w:t>
            </w:r>
            <w:r>
              <w:t xml:space="preserve">12</w:t>
            </w:r>
            <w:r>
              <w:t xml:space="preserve">.20</w:t>
            </w:r>
            <w:r>
              <w:t xml:space="preserve">2</w:t>
            </w:r>
            <w:r>
              <w:t xml:space="preserve">4</w:t>
            </w:r>
            <w:r>
              <w:t xml:space="preserve"> №</w:t>
            </w:r>
            <w:r>
              <w:t xml:space="preserve">430</w:t>
            </w:r>
            <w:r>
              <w:t xml:space="preserve"> «О </w:t>
            </w:r>
            <w:r>
              <w:t xml:space="preserve">прогнозном </w:t>
            </w:r>
            <w:r>
              <w:t xml:space="preserve">плане (программе)</w:t>
            </w:r>
            <w:r>
              <w:t xml:space="preserve"> </w:t>
            </w:r>
            <w:r>
              <w:t xml:space="preserve">приватизации </w:t>
            </w:r>
            <w:r>
              <w:t xml:space="preserve">муниципального имущества </w:t>
            </w:r>
            <w:r>
              <w:t xml:space="preserve">городского округа</w:t>
            </w:r>
            <w:r>
              <w:t xml:space="preserve"> </w:t>
            </w:r>
            <w:r>
              <w:t xml:space="preserve">Мегион</w:t>
            </w:r>
            <w:r>
              <w:t xml:space="preserve"> на 20</w:t>
            </w:r>
            <w:r>
              <w:t xml:space="preserve">2</w:t>
            </w:r>
            <w:r>
              <w:t xml:space="preserve">5</w:t>
            </w:r>
            <w:r>
              <w:t xml:space="preserve"> год»</w:t>
            </w:r>
            <w:r>
              <w:t xml:space="preserve"> </w:t>
            </w:r>
            <w:r>
              <w:t xml:space="preserve"> </w:t>
            </w:r>
            <w:r/>
          </w:p>
        </w:tc>
      </w:tr>
    </w:tbl>
    <w:p>
      <w:r/>
      <w:r/>
    </w:p>
    <w:p>
      <w:r/>
      <w:r/>
    </w:p>
    <w:p>
      <w:pPr>
        <w:jc w:val="both"/>
        <w:tabs>
          <w:tab w:val="left" w:pos="567" w:leader="none"/>
        </w:tabs>
      </w:pPr>
      <w:r>
        <w:t xml:space="preserve">         </w:t>
      </w:r>
      <w:r>
        <w:t xml:space="preserve">Рассмотрев проект решения Думы города Мегиона</w:t>
      </w:r>
      <w:r>
        <w:t xml:space="preserve"> «</w:t>
      </w:r>
      <w:r>
        <w:t xml:space="preserve">О внесении изменени</w:t>
      </w:r>
      <w:r>
        <w:t xml:space="preserve">й</w:t>
      </w:r>
      <w:r>
        <w:t xml:space="preserve"> в решение Думы города Мегиона от </w:t>
      </w:r>
      <w:r>
        <w:t xml:space="preserve">2</w:t>
      </w:r>
      <w:r>
        <w:t xml:space="preserve">3</w:t>
      </w:r>
      <w:r>
        <w:t xml:space="preserve">.</w:t>
      </w:r>
      <w:r>
        <w:t xml:space="preserve">12</w:t>
      </w:r>
      <w:r>
        <w:t xml:space="preserve">.20</w:t>
      </w:r>
      <w:r>
        <w:t xml:space="preserve">2</w:t>
      </w:r>
      <w:r>
        <w:t xml:space="preserve">4</w:t>
      </w:r>
      <w:r>
        <w:t xml:space="preserve"> №</w:t>
      </w:r>
      <w:r>
        <w:t xml:space="preserve">430</w:t>
      </w:r>
      <w:r>
        <w:t xml:space="preserve"> «О прогнозном плане (программе) приватизации</w:t>
      </w:r>
      <w:r>
        <w:t xml:space="preserve"> </w:t>
      </w:r>
      <w:r>
        <w:t xml:space="preserve">муниципального имущества г</w:t>
      </w:r>
      <w:r>
        <w:t xml:space="preserve">ородского округа</w:t>
      </w:r>
      <w:r>
        <w:t xml:space="preserve"> Мегион</w:t>
      </w:r>
      <w:r>
        <w:t xml:space="preserve"> на 20</w:t>
      </w:r>
      <w:r>
        <w:t xml:space="preserve">2</w:t>
      </w:r>
      <w:r>
        <w:t xml:space="preserve">5</w:t>
      </w:r>
      <w:r>
        <w:t xml:space="preserve"> год»</w:t>
      </w:r>
      <w:r>
        <w:t xml:space="preserve">,</w:t>
      </w:r>
      <w:r>
        <w:t xml:space="preserve"> в соответствии с Федеральным законом от 21.12.2001 №178-ФЗ «О приватизации государственного и муниципального</w:t>
      </w:r>
      <w:r>
        <w:t xml:space="preserve"> имущества» (с изменениями), </w:t>
      </w:r>
      <w:r>
        <w:t xml:space="preserve">руководствуясь статьями 19, 48 устава города Мегиона, Дума города Мегиона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</w:pPr>
      <w:r>
        <w:t xml:space="preserve">РЕШИЛА: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both"/>
      </w:pPr>
      <w:r>
        <w:t xml:space="preserve">          1.</w:t>
      </w:r>
      <w:r>
        <w:t xml:space="preserve">Внести в решение Думы города Мегиона от </w:t>
      </w:r>
      <w:r>
        <w:t xml:space="preserve">2</w:t>
      </w:r>
      <w:r>
        <w:t xml:space="preserve">3</w:t>
      </w:r>
      <w:r>
        <w:t xml:space="preserve">.</w:t>
      </w:r>
      <w:r>
        <w:t xml:space="preserve">12.202</w:t>
      </w:r>
      <w:r>
        <w:t xml:space="preserve">4</w:t>
      </w:r>
      <w:r>
        <w:t xml:space="preserve"> №</w:t>
      </w:r>
      <w:r>
        <w:t xml:space="preserve">430</w:t>
      </w:r>
      <w:r>
        <w:t xml:space="preserve"> «О прогнозном плане (программе) приватизации муниципального имущества горо</w:t>
      </w:r>
      <w:r>
        <w:t xml:space="preserve">дского округа</w:t>
      </w:r>
      <w:r>
        <w:t xml:space="preserve"> Мегион</w:t>
      </w:r>
      <w:r>
        <w:t xml:space="preserve"> на 20</w:t>
      </w:r>
      <w:r>
        <w:t xml:space="preserve">2</w:t>
      </w:r>
      <w:r>
        <w:t xml:space="preserve">5</w:t>
      </w:r>
      <w:r>
        <w:t xml:space="preserve"> год»</w:t>
      </w:r>
      <w:r>
        <w:t xml:space="preserve">,</w:t>
      </w:r>
      <w:r>
        <w:t xml:space="preserve"> </w:t>
      </w:r>
      <w:r>
        <w:t xml:space="preserve">изменения согласно приложению</w:t>
      </w:r>
      <w:r>
        <w:t xml:space="preserve"> к настоящему решению</w:t>
      </w:r>
      <w:r>
        <w:t xml:space="preserve">.</w:t>
      </w:r>
      <w:r/>
    </w:p>
    <w:p>
      <w:pPr>
        <w:jc w:val="both"/>
      </w:pPr>
      <w:r>
        <w:t xml:space="preserve">         2.Настоящее решение вступает в силу после </w:t>
      </w:r>
      <w:r>
        <w:t xml:space="preserve">его подписания и подлежит </w:t>
      </w:r>
      <w:r>
        <w:t xml:space="preserve">официально</w:t>
      </w:r>
      <w:r>
        <w:t xml:space="preserve">му</w:t>
      </w:r>
      <w:r>
        <w:t xml:space="preserve"> опубликовани</w:t>
      </w:r>
      <w:r>
        <w:t xml:space="preserve">ю</w:t>
      </w:r>
      <w:r>
        <w:t xml:space="preserve">.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 Думы</w:t>
      </w:r>
      <w:r>
        <w:rPr>
          <w:rFonts w:eastAsia="Calibri"/>
        </w:rPr>
        <w:t xml:space="preserve"> города Мегиона                                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</w:t>
      </w:r>
      <w:r>
        <w:rPr>
          <w:rFonts w:eastAsia="Calibri"/>
        </w:rPr>
        <w:t xml:space="preserve">    А.А.Алтапов</w:t>
      </w:r>
      <w:r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                                                 </w:t>
      </w:r>
      <w:r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                  </w:t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г. Мегион                                                                                                                                                                 </w:t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«______»_______</w:t>
      </w:r>
      <w:r>
        <w:rPr>
          <w:rFonts w:eastAsia="Calibri"/>
        </w:rPr>
        <w:t xml:space="preserve">20</w:t>
      </w:r>
      <w:r>
        <w:rPr>
          <w:rFonts w:eastAsia="Calibri"/>
        </w:rPr>
        <w:t xml:space="preserve">2</w:t>
      </w:r>
      <w:r>
        <w:rPr>
          <w:rFonts w:eastAsia="Calibri"/>
        </w:rPr>
        <w:t xml:space="preserve">5</w:t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Приложение</w:t>
      </w:r>
      <w:r/>
    </w:p>
    <w:p>
      <w:pPr>
        <w:jc w:val="both"/>
      </w:pPr>
      <w:r>
        <w:t xml:space="preserve">                                                                                       </w:t>
      </w:r>
      <w:r>
        <w:t xml:space="preserve">                     </w:t>
      </w:r>
      <w:r>
        <w:t xml:space="preserve">к решению Думы</w:t>
      </w:r>
      <w:r/>
    </w:p>
    <w:p>
      <w:pPr>
        <w:jc w:val="both"/>
      </w:pPr>
      <w:r>
        <w:t xml:space="preserve">                                                                                       </w:t>
      </w:r>
      <w:r>
        <w:t xml:space="preserve">                     </w:t>
      </w:r>
      <w:r>
        <w:t xml:space="preserve">города Мегиона</w:t>
      </w:r>
      <w:r/>
    </w:p>
    <w:p>
      <w:pPr>
        <w:jc w:val="both"/>
      </w:pPr>
      <w:r>
        <w:t xml:space="preserve">                                                                                       </w:t>
      </w:r>
      <w:r>
        <w:t xml:space="preserve">                     </w:t>
      </w:r>
      <w:r>
        <w:t xml:space="preserve">от «____»______20</w:t>
      </w:r>
      <w:r>
        <w:t xml:space="preserve">2</w:t>
      </w:r>
      <w:r>
        <w:t xml:space="preserve">5</w:t>
      </w:r>
      <w:r>
        <w:t xml:space="preserve"> №___</w:t>
      </w:r>
      <w:r/>
    </w:p>
    <w:p>
      <w:r>
        <w:t xml:space="preserve">                                                                                       </w:t>
      </w:r>
      <w:r>
        <w:t xml:space="preserve">                               </w:t>
      </w:r>
      <w:r>
        <w:t xml:space="preserve">                                                                                           </w:t>
      </w:r>
      <w:r>
        <w:t xml:space="preserve"> </w:t>
      </w:r>
      <w:r>
        <w:t xml:space="preserve">          </w:t>
      </w:r>
      <w:r/>
    </w:p>
    <w:p>
      <w:pPr>
        <w:jc w:val="center"/>
      </w:pPr>
      <w:r>
        <w:t xml:space="preserve">Изменения</w:t>
      </w:r>
      <w:r/>
    </w:p>
    <w:p>
      <w:pPr>
        <w:jc w:val="center"/>
      </w:pPr>
      <w:r>
        <w:t xml:space="preserve">в решение Думы города Мегиона от </w:t>
      </w:r>
      <w:r>
        <w:t xml:space="preserve">2</w:t>
      </w:r>
      <w:r>
        <w:t xml:space="preserve">3</w:t>
      </w:r>
      <w:r>
        <w:t xml:space="preserve">.</w:t>
      </w:r>
      <w:r>
        <w:t xml:space="preserve">12</w:t>
      </w:r>
      <w:r>
        <w:t xml:space="preserve">.20</w:t>
      </w:r>
      <w:r>
        <w:t xml:space="preserve">2</w:t>
      </w:r>
      <w:r>
        <w:t xml:space="preserve">4</w:t>
      </w:r>
      <w:r>
        <w:t xml:space="preserve"> №</w:t>
      </w:r>
      <w:r>
        <w:t xml:space="preserve">430</w:t>
      </w:r>
      <w:r>
        <w:t xml:space="preserve"> </w:t>
      </w:r>
      <w:r>
        <w:t xml:space="preserve">«</w:t>
      </w:r>
      <w:r>
        <w:t xml:space="preserve">О прогнозном плане (программе) приватизации муниципального имущества городского округа Мегион</w:t>
      </w:r>
      <w:r>
        <w:t xml:space="preserve"> на 20</w:t>
      </w:r>
      <w:r>
        <w:t xml:space="preserve">2</w:t>
      </w:r>
      <w:r>
        <w:t xml:space="preserve">5</w:t>
      </w:r>
      <w:r>
        <w:t xml:space="preserve"> год»</w:t>
      </w:r>
      <w:r>
        <w:t xml:space="preserve">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hanging="142"/>
        <w:jc w:val="both"/>
      </w:pPr>
      <w:r>
        <w:t xml:space="preserve">1.</w:t>
      </w:r>
      <w:r>
        <w:t xml:space="preserve">П</w:t>
      </w:r>
      <w:r>
        <w:t xml:space="preserve">ункт 2.1. р</w:t>
      </w:r>
      <w:r>
        <w:t xml:space="preserve">аздел</w:t>
      </w:r>
      <w:r>
        <w:t xml:space="preserve">а</w:t>
      </w:r>
      <w:r>
        <w:t xml:space="preserve"> </w:t>
      </w:r>
      <w:r>
        <w:t xml:space="preserve">2 прогнозного плана (программы)</w:t>
      </w:r>
      <w:r>
        <w:t xml:space="preserve">:</w:t>
      </w:r>
      <w:r/>
    </w:p>
    <w:p>
      <w:pPr>
        <w:ind w:hanging="142"/>
        <w:jc w:val="both"/>
      </w:pPr>
      <w:r>
        <w:t xml:space="preserve">  </w:t>
      </w:r>
      <w:r/>
    </w:p>
    <w:p>
      <w:pPr>
        <w:ind w:left="-126" w:right="139"/>
        <w:jc w:val="both"/>
      </w:pPr>
      <w:r>
        <w:t xml:space="preserve">дополнить </w:t>
      </w:r>
      <w:r>
        <w:t xml:space="preserve">подпункт</w:t>
      </w:r>
      <w:r>
        <w:t xml:space="preserve">ом</w:t>
      </w:r>
      <w:r>
        <w:t xml:space="preserve"> </w:t>
      </w:r>
      <w:r>
        <w:t xml:space="preserve">58</w:t>
      </w:r>
      <w:r>
        <w:t xml:space="preserve"> следующе</w:t>
      </w:r>
      <w:r>
        <w:t xml:space="preserve">го содержания</w:t>
      </w:r>
      <w:r>
        <w:t xml:space="preserve">:</w:t>
      </w:r>
      <w:r/>
    </w:p>
    <w:p>
      <w:pPr>
        <w:ind w:hanging="142"/>
        <w:jc w:val="both"/>
      </w:pPr>
      <w:r/>
      <w:r/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694"/>
      </w:tblGrid>
      <w:tr>
        <w:tblPrEx/>
        <w:trPr>
          <w:trHeight w:val="6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п/п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объекта недвижимости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Предполагаемые сроки приватизации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58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 xml:space="preserve">встроенное </w:t>
            </w:r>
            <w:r>
              <w:rPr>
                <w:color w:val="000000"/>
              </w:rPr>
              <w:t xml:space="preserve">помещение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назначение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нежилое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площадью </w:t>
            </w:r>
            <w:r>
              <w:rPr>
                <w:color w:val="000000"/>
              </w:rPr>
              <w:t xml:space="preserve">77,8</w:t>
            </w:r>
            <w:r>
              <w:rPr>
                <w:color w:val="000000"/>
              </w:rPr>
              <w:t xml:space="preserve"> кв.м., кадастровый номер: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86:19:0010</w:t>
            </w:r>
            <w:r>
              <w:rPr>
                <w:color w:val="000000"/>
              </w:rPr>
              <w:t xml:space="preserve">404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  <w:t xml:space="preserve">371</w:t>
            </w:r>
            <w:r>
              <w:rPr>
                <w:color w:val="000000"/>
              </w:rPr>
              <w:t xml:space="preserve">, расположенное по адресу: город Мегион, улица С</w:t>
            </w:r>
            <w:r>
              <w:rPr>
                <w:color w:val="000000"/>
              </w:rPr>
              <w:t xml:space="preserve">адовая, д. 16, пом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1003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</w:t>
            </w:r>
            <w:r>
              <w:t xml:space="preserve">полугодие</w:t>
            </w:r>
            <w:r>
              <w:t xml:space="preserve"> </w:t>
            </w:r>
            <w:r/>
          </w:p>
        </w:tc>
      </w:tr>
    </w:tbl>
    <w:p>
      <w:pPr>
        <w:ind w:hanging="142"/>
        <w:jc w:val="both"/>
      </w:pPr>
      <w:r/>
      <w:r/>
    </w:p>
    <w:p>
      <w:pPr>
        <w:pStyle w:val="695"/>
        <w:ind w:left="218" w:right="-143"/>
        <w:jc w:val="both"/>
      </w:pPr>
      <w:r/>
      <w:r/>
    </w:p>
    <w:p>
      <w:pPr>
        <w:pStyle w:val="695"/>
        <w:ind w:left="218" w:right="-143"/>
        <w:jc w:val="both"/>
      </w:pPr>
      <w:r/>
      <w:r/>
    </w:p>
    <w:p>
      <w:pPr>
        <w:pStyle w:val="695"/>
        <w:ind w:left="218" w:right="-143"/>
        <w:jc w:val="both"/>
      </w:pPr>
      <w:r/>
      <w:r/>
    </w:p>
    <w:p>
      <w:pPr>
        <w:ind w:right="-143"/>
        <w:jc w:val="both"/>
      </w:pPr>
      <w:r>
        <w:t xml:space="preserve">2.</w:t>
      </w:r>
      <w:r>
        <w:t xml:space="preserve">В разделе </w:t>
      </w:r>
      <w:r>
        <w:t xml:space="preserve">4</w:t>
      </w:r>
      <w:r>
        <w:t xml:space="preserve"> прогнозного плана </w:t>
      </w:r>
      <w:r>
        <w:t xml:space="preserve">(</w:t>
      </w:r>
      <w:r>
        <w:t xml:space="preserve">программы) слова «</w:t>
      </w:r>
      <w:r>
        <w:t xml:space="preserve">24 297,34</w:t>
      </w:r>
      <w:r>
        <w:t xml:space="preserve"> тыс. руб</w:t>
      </w:r>
      <w:r>
        <w:t xml:space="preserve">.» заменить словами «</w:t>
      </w:r>
      <w:r>
        <w:t xml:space="preserve">2</w:t>
      </w:r>
      <w:r>
        <w:t xml:space="preserve">4 536,3</w:t>
      </w:r>
      <w:r>
        <w:t xml:space="preserve">8</w:t>
      </w:r>
      <w:bookmarkStart w:id="0" w:name="_GoBack"/>
      <w:r/>
      <w:bookmarkEnd w:id="0"/>
      <w:r>
        <w:t xml:space="preserve"> тыс. руб.».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right="139"/>
        <w:jc w:val="both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418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Garamond">
    <w:panose1 w:val="020204040303010108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3203821"/>
      <w:docPartObj>
        <w:docPartGallery w:val="Page Numbers (Top of Page)"/>
        <w:docPartUnique w:val="true"/>
      </w:docPartObj>
      <w:rPr/>
    </w:sdtPr>
    <w:sdtContent>
      <w:p>
        <w:pPr>
          <w:pStyle w:val="69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2"/>
    <w:link w:val="685"/>
    <w:uiPriority w:val="10"/>
    <w:rPr>
      <w:sz w:val="48"/>
      <w:szCs w:val="48"/>
    </w:rPr>
  </w:style>
  <w:style w:type="character" w:styleId="37">
    <w:name w:val="Subtitle Char"/>
    <w:basedOn w:val="682"/>
    <w:link w:val="687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91"/>
    <w:uiPriority w:val="99"/>
  </w:style>
  <w:style w:type="character" w:styleId="45">
    <w:name w:val="Footer Char"/>
    <w:basedOn w:val="682"/>
    <w:link w:val="693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rPr>
      <w:sz w:val="24"/>
      <w:szCs w:val="24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>
    <w:name w:val="Title"/>
    <w:basedOn w:val="681"/>
    <w:link w:val="686"/>
    <w:qFormat/>
    <w:pPr>
      <w:jc w:val="center"/>
    </w:pPr>
    <w:rPr>
      <w:rFonts w:ascii="Garamond" w:hAnsi="Garamond"/>
      <w:szCs w:val="20"/>
    </w:rPr>
  </w:style>
  <w:style w:type="character" w:styleId="686" w:customStyle="1">
    <w:name w:val="Заголовок Знак"/>
    <w:basedOn w:val="682"/>
    <w:link w:val="685"/>
    <w:rPr>
      <w:rFonts w:ascii="Garamond" w:hAnsi="Garamond"/>
      <w:sz w:val="24"/>
    </w:rPr>
  </w:style>
  <w:style w:type="paragraph" w:styleId="687">
    <w:name w:val="Subtitle"/>
    <w:basedOn w:val="681"/>
    <w:link w:val="688"/>
    <w:qFormat/>
    <w:pPr>
      <w:jc w:val="center"/>
    </w:pPr>
    <w:rPr>
      <w:rFonts w:eastAsia="Calibri"/>
      <w:b/>
      <w:color w:val="ff0000"/>
      <w:szCs w:val="20"/>
    </w:rPr>
  </w:style>
  <w:style w:type="character" w:styleId="688" w:customStyle="1">
    <w:name w:val="Подзаголовок Знак"/>
    <w:basedOn w:val="682"/>
    <w:link w:val="687"/>
    <w:rPr>
      <w:rFonts w:eastAsia="Calibri"/>
      <w:b/>
      <w:color w:val="ff0000"/>
      <w:sz w:val="24"/>
    </w:rPr>
  </w:style>
  <w:style w:type="paragraph" w:styleId="689">
    <w:name w:val="Balloon Text"/>
    <w:basedOn w:val="681"/>
    <w:link w:val="690"/>
    <w:uiPriority w:val="99"/>
    <w:semiHidden/>
    <w:unhideWhenUsed/>
    <w:rPr>
      <w:rFonts w:ascii="Tahoma" w:hAnsi="Tahoma" w:cs="Tahoma"/>
      <w:sz w:val="16"/>
      <w:szCs w:val="16"/>
    </w:rPr>
  </w:style>
  <w:style w:type="character" w:styleId="690" w:customStyle="1">
    <w:name w:val="Текст выноски Знак"/>
    <w:basedOn w:val="682"/>
    <w:link w:val="689"/>
    <w:uiPriority w:val="99"/>
    <w:semiHidden/>
    <w:rPr>
      <w:rFonts w:ascii="Tahoma" w:hAnsi="Tahoma" w:cs="Tahoma"/>
      <w:sz w:val="16"/>
      <w:szCs w:val="16"/>
    </w:rPr>
  </w:style>
  <w:style w:type="paragraph" w:styleId="691">
    <w:name w:val="Header"/>
    <w:basedOn w:val="681"/>
    <w:link w:val="6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2"/>
    <w:link w:val="691"/>
    <w:uiPriority w:val="99"/>
    <w:rPr>
      <w:sz w:val="24"/>
      <w:szCs w:val="24"/>
    </w:rPr>
  </w:style>
  <w:style w:type="paragraph" w:styleId="693">
    <w:name w:val="Footer"/>
    <w:basedOn w:val="681"/>
    <w:link w:val="6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82"/>
    <w:link w:val="693"/>
    <w:uiPriority w:val="99"/>
    <w:rPr>
      <w:sz w:val="24"/>
      <w:szCs w:val="24"/>
    </w:rPr>
  </w:style>
  <w:style w:type="paragraph" w:styleId="695">
    <w:name w:val="List Paragraph"/>
    <w:basedOn w:val="68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D17B-88C4-4A0F-9961-542F7C91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60</cp:revision>
  <dcterms:created xsi:type="dcterms:W3CDTF">2020-01-24T12:44:00Z</dcterms:created>
  <dcterms:modified xsi:type="dcterms:W3CDTF">2025-04-09T10:58:35Z</dcterms:modified>
</cp:coreProperties>
</file>