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570" w:leader="none"/>
        </w:tabs>
      </w:pPr>
      <w:r/>
      <w:r/>
    </w:p>
    <w:p>
      <w:pPr>
        <w:contextualSpacing/>
        <w:ind w:left="6372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Приложение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к решению Думы                                                                                                             города Мегиона          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от 30.05.2025 № 462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Положение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  <w:t xml:space="preserve">о муниципальном лесном контроле на территории города Мегиона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t xml:space="preserve">1.Общие положения</w:t>
      </w:r>
      <w:r>
        <w:rPr>
          <w:bCs/>
        </w:rPr>
      </w:r>
      <w:r>
        <w:rPr>
          <w:bCs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</w:pPr>
      <w:r>
        <w:t xml:space="preserve">1.1.</w:t>
      </w:r>
      <w:r>
        <w:t xml:space="preserve"> </w:t>
      </w:r>
      <w:r>
        <w:t xml:space="preserve">Положение о </w:t>
      </w:r>
      <w:r>
        <w:t xml:space="preserve">муниципальном контроле</w:t>
      </w:r>
      <w:r>
        <w:t xml:space="preserve"> (далее – Положение) устанавливает порядок организации и осуществления муниципального лесного контроля на территории города Мегиона (далее – муниципальный контроль).</w:t>
      </w:r>
      <w:r/>
    </w:p>
    <w:p>
      <w:pPr>
        <w:ind w:firstLine="709"/>
        <w:jc w:val="both"/>
      </w:pPr>
      <w:r>
        <w:t xml:space="preserve">1.2.</w:t>
      </w:r>
      <w:r>
        <w:t xml:space="preserve"> </w:t>
      </w:r>
      <w:r>
        <w:t xml:space="preserve">К отношениям, связанным с осуществлением муници</w:t>
      </w:r>
      <w:r>
        <w:t xml:space="preserve">пального контроля, организацией и проведением профилактических мероприятий и контрольных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№248-ФЗ «О государстве</w:t>
      </w:r>
      <w:r>
        <w:t xml:space="preserve">нном контроле (надзоре) и муниципальном контроле в Российской Федерации» (далее – Федеральный закон №248-ФЗ).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1.3.</w:t>
      </w:r>
      <w:r>
        <w:rPr>
          <w:highlight w:val="white"/>
        </w:rPr>
        <w:t xml:space="preserve"> </w:t>
      </w:r>
      <w:r>
        <w:rPr>
          <w:highlight w:val="white"/>
        </w:rPr>
        <w:t xml:space="preserve">Муниципальный контроль осуществляется администрацией города Мегиона в лице отдела муниципального контроля администрации города Мегиона (далее </w:t>
      </w:r>
      <w:r>
        <w:rPr>
          <w:highlight w:val="white"/>
        </w:rPr>
        <w:t xml:space="preserve">– контрольный орган).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являются:</w:t>
      </w:r>
      <w:r/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</w:t>
      </w:r>
      <w:r>
        <w:rPr>
          <w:rFonts w:ascii="Times New Roman" w:hAnsi="Times New Roman" w:cs="Times New Roman"/>
          <w:sz w:val="24"/>
          <w:szCs w:val="24"/>
        </w:rPr>
        <w:t xml:space="preserve">яющим деятельность, действия (бездействие);</w:t>
      </w:r>
      <w:r/>
    </w:p>
    <w:p>
      <w:pPr>
        <w:pStyle w:val="95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/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3)здания, помещения, сооружения, линейные объекты, территории, вк</w:t>
      </w:r>
      <w:r>
        <w:rPr>
          <w:rFonts w:ascii="Times New Roman" w:hAnsi="Times New Roman" w:cs="Times New Roman"/>
          <w:sz w:val="24"/>
          <w:szCs w:val="24"/>
        </w:rPr>
        <w:t xml:space="preserve">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(далее - производственные объекты).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83" w:lineRule="exac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1.5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</w:t>
      </w:r>
      <w:r>
        <w:rPr>
          <w:color w:val="000000"/>
        </w:rPr>
        <w:t xml:space="preserve">чет объектов контроля осуществляется в соответствии с Федеральным законом №248-ФЗ, Положением посредством: 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формирования перечня объектов контроля, размещенного на официальном сайте администрации города Мег</w:t>
      </w:r>
      <w:r>
        <w:rPr>
          <w:color w:val="000000"/>
        </w:rPr>
        <w:t xml:space="preserve">иона в информационно-телекоммуникационной сети «Интернет» (далее – сеть «Интернет»);</w:t>
      </w:r>
      <w:r/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hAnsi="Segoe UI" w:eastAsia="Segoe UI" w:cs="Segoe UI"/>
          <w:color w:val="000000"/>
        </w:rPr>
        <w:t xml:space="preserve"> </w:t>
      </w:r>
      <w:r/>
    </w:p>
    <w:p>
      <w:pPr>
        <w:ind w:firstLine="709"/>
        <w:jc w:val="both"/>
        <w:rPr>
          <w:color w:val="000000" w:themeColor="text1"/>
          <w:highlight w:val="yellow"/>
        </w:rPr>
      </w:pPr>
      <w:r>
        <w:t xml:space="preserve">1.6.Предметом му</w:t>
      </w:r>
      <w:r>
        <w:t xml:space="preserve">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</w:t>
      </w:r>
      <w:r>
        <w:t xml:space="preserve">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</w:t>
      </w:r>
      <w:r>
        <w:t xml:space="preserve">оизводства лесов и лесоразведения, в том числе в области семеноводства в отношении семян лесных растений.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 проведения: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2)контрольных мероприятий со взаимодействием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1)руководитель контрольного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2)должност</w:t>
      </w:r>
      <w:r>
        <w:rPr>
          <w:rFonts w:ascii="Times New Roman" w:hAnsi="Times New Roman" w:cs="Times New Roman"/>
          <w:sz w:val="24"/>
          <w:szCs w:val="24"/>
        </w:rPr>
        <w:t xml:space="preserve">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(далее также – инспектор).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1.9.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Принятие решений о проведении контрольных мероприятий осуществляет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/>
      <w:r/>
    </w:p>
    <w:p>
      <w:pPr>
        <w:pStyle w:val="95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2291" w:leader="none"/>
        </w:tabs>
      </w:pPr>
      <w:r/>
      <w:r/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t xml:space="preserve">2.1.</w:t>
      </w:r>
      <w:r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 xml:space="preserve"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</w:t>
      </w:r>
      <w:r>
        <w:rPr>
          <w:rFonts w:eastAsia="Calibri"/>
          <w:lang w:eastAsia="en-US"/>
        </w:rPr>
        <w:t xml:space="preserve"> результаты.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rFonts w:eastAsia="Calibri"/>
          <w:lang w:eastAsia="en-US"/>
        </w:rPr>
        <w:t xml:space="preserve">2.2.</w:t>
      </w:r>
      <w:r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</w:t>
      </w:r>
      <w:r>
        <w:t xml:space="preserve">(далее – индикаторы риска) осуществляются контрольным органом в соответствии с главой 5 Федерального закона №248-ФЗ.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2.3.</w:t>
      </w:r>
      <w:r>
        <w:t xml:space="preserve"> </w:t>
      </w:r>
      <w:r>
        <w:t xml:space="preserve">Объекты </w:t>
      </w:r>
      <w:r>
        <w:rPr>
          <w:highlight w:val="white"/>
        </w:rPr>
        <w:t xml:space="preserve"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 xml:space="preserve">в соответствии с критериями отнесения объектов ко</w:t>
      </w:r>
      <w:r>
        <w:t xml:space="preserve">нтроля к категориям риска (далее – критерии риска), указанными в Приложении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2.4.</w:t>
      </w:r>
      <w:r>
        <w:t xml:space="preserve"> </w:t>
      </w:r>
      <w:r>
        <w:t xml:space="preserve">При отнесении объектов </w:t>
      </w:r>
      <w:r>
        <w:rPr>
          <w:highlight w:val="white"/>
        </w:rPr>
        <w:t xml:space="preserve"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</w:t>
      </w:r>
      <w:r>
        <w:t xml:space="preserve">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2.5.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Допустимый уров</w:t>
      </w:r>
      <w:r>
        <w:rPr>
          <w:highlight w:val="white"/>
        </w:rPr>
        <w:t xml:space="preserve">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highlight w:val="white"/>
        </w:rPr>
        <w:tab/>
        <w:t xml:space="preserve">2.6.</w:t>
      </w:r>
      <w:r>
        <w:rPr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</w:t>
      </w:r>
      <w:r>
        <w:rPr>
          <w:highlight w:val="white"/>
        </w:rPr>
        <w:t xml:space="preserve">онтрольного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bCs/>
          <w:i/>
          <w:color w:val="000000"/>
          <w:highlight w:val="cyan"/>
        </w:rPr>
      </w:pPr>
      <w:r>
        <w:t xml:space="preserve">2.7.</w:t>
      </w:r>
      <w:r>
        <w:t xml:space="preserve"> </w:t>
      </w:r>
      <w:r>
        <w:t xml:space="preserve">Контрольным органом обеспечивается организация постоянного мониторинга (сбора, обработки, анал</w:t>
      </w:r>
      <w:r>
        <w:t xml:space="preserve">иза и учета) сведений, используемых для оценки и управления рисками причинения вреда (ущерба).</w:t>
      </w:r>
      <w:r>
        <w:rPr>
          <w:bCs/>
          <w:i/>
          <w:color w:val="000000"/>
          <w:highlight w:val="cyan"/>
        </w:rPr>
      </w:r>
      <w:r>
        <w:rPr>
          <w:bCs/>
          <w:i/>
          <w:color w:val="000000"/>
          <w:highlight w:val="cyan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 xml:space="preserve">контроля</w:t>
      </w:r>
      <w:r>
        <w:t xml:space="preserve"> критериям риска иной категории риска либо об изменении критериев риска кон</w:t>
      </w:r>
      <w:r>
        <w:t xml:space="preserve">трольный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</w:t>
      </w:r>
      <w:r>
        <w:rPr>
          <w:highlight w:val="yellow"/>
        </w:rPr>
        <w:t xml:space="preserve">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 xml:space="preserve">к</w:t>
      </w:r>
      <w:r>
        <w:t xml:space="preserve">онтроля.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2.9.В случае, если объект контроля не отнесен контрольным органом к определенной категории риска, </w:t>
      </w:r>
      <w:r>
        <w:t xml:space="preserve">он считается отнесенным к категории низкого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2.10.</w:t>
      </w:r>
      <w:r>
        <w:t xml:space="preserve"> </w:t>
      </w:r>
      <w: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</w:t>
      </w:r>
      <w:r>
        <w:t xml:space="preserve">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</w:t>
      </w:r>
      <w:r>
        <w:t xml:space="preserve">отнесения к иной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tab/>
        <w:t xml:space="preserve">2.11.</w:t>
      </w:r>
      <w:r>
        <w:t xml:space="preserve"> </w:t>
      </w:r>
      <w:r>
        <w:t xml:space="preserve">По запросу контролируемого лица контрольный ор</w:t>
      </w:r>
      <w:r>
        <w:t xml:space="preserve">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t xml:space="preserve">2.12.Отнесение объектов контроля к определенной категории риска, в том числе изменени</w:t>
      </w:r>
      <w:r>
        <w:t xml:space="preserve">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</w:t>
      </w:r>
      <w: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  <w:r/>
    </w:p>
    <w:p>
      <w:pPr>
        <w:ind w:firstLine="720"/>
        <w:jc w:val="both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t xml:space="preserve">3.Профилактика рисков причинения вреда (ущерба) охраня</w:t>
      </w:r>
      <w:r>
        <w:t xml:space="preserve">емым законом ценностям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3.1.</w:t>
      </w:r>
      <w:r>
        <w:t xml:space="preserve"> </w:t>
      </w:r>
      <w: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t xml:space="preserve">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3.2.</w:t>
      </w:r>
      <w:r>
        <w:t xml:space="preserve"> </w:t>
      </w:r>
      <w:r>
        <w:t xml:space="preserve">Профилактические мероприятия, предусмотренные Программой профилактики, обязательн</w:t>
      </w:r>
      <w:r>
        <w:t xml:space="preserve">ы для проведения контрольным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3.3.</w:t>
      </w:r>
      <w:r>
        <w:t xml:space="preserve"> </w:t>
      </w:r>
      <w:r>
        <w:t xml:space="preserve">Контрольный орган вправе проводить профилактические мероприятия, не предусмотренные Программой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3.4.</w:t>
      </w:r>
      <w:r>
        <w:t xml:space="preserve"> </w:t>
      </w:r>
      <w:r>
        <w:t xml:space="preserve">Контрольный орган в рамках осуществления муниципального контроля проводит следующие профилактические мероприятия:</w:t>
      </w:r>
      <w:r>
        <w:rPr>
          <w:sz w:val="28"/>
          <w:szCs w:val="28"/>
        </w:rPr>
        <w:t xml:space="preserve">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1)информирование;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2)объявление предостережения;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3)консультирование;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4)профилактический визит.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t xml:space="preserve">3.5.</w:t>
      </w:r>
      <w:r>
        <w:t xml:space="preserve"> </w:t>
      </w:r>
      <w:r>
        <w:t xml:space="preserve">Информирование осуществляется должностн</w:t>
      </w:r>
      <w:r>
        <w:t xml:space="preserve">ыми лицами контрольного органа посредством размещения сведений, предусмотренных частью 3 статьи 46 Федерального закона №2</w:t>
      </w:r>
      <w:r>
        <w:rPr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</w:t>
      </w:r>
      <w:r>
        <w:rPr>
          <w:highlight w:val="white"/>
        </w:rPr>
        <w:t xml:space="preserve"> и муниципальных услуг (функций) и в иных формах.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состоянии и обновляются в срок </w:t>
      </w:r>
      <w:r>
        <w:t xml:space="preserve">не позднее 5 рабочих дней с момента их изменения.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t xml:space="preserve">3.6</w:t>
      </w:r>
      <w:r>
        <w:rPr>
          <w:highlight w:val="white"/>
        </w:rPr>
        <w:t xml:space="preserve">.</w:t>
      </w:r>
      <w:r>
        <w:t xml:space="preserve"> </w:t>
      </w:r>
      <w:r>
        <w:t xml:space="preserve">Предостережение о недопустимости нарушения обязательных требований (дал</w:t>
      </w:r>
      <w:r>
        <w:t xml:space="preserve">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</w:t>
      </w:r>
      <w:r>
        <w:rPr>
          <w:highlight w:val="white"/>
        </w:rPr>
        <w:t xml:space="preserve">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t xml:space="preserve">Предостережение составляется по форме, утвержденной приказом Министерства экономического раз</w:t>
      </w:r>
      <w:r>
        <w:t xml:space="preserve">вития Российской Федерации.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(далее – ЕРКНМ) и в течение 3 рабочих дней с даты объявления направляет в адрес контролируемого лиц</w:t>
      </w:r>
      <w:r>
        <w:rPr>
          <w:highlight w:val="white"/>
        </w:rPr>
        <w:t xml:space="preserve">а через единый портал государственных и муниципальных услуг (функций), а</w:t>
      </w:r>
      <w:r>
        <w:t xml:space="preserve"> также по адресу электронной почты или почтовым отправлением (в случае направления на бумажном носителе).</w:t>
      </w:r>
      <w:r/>
    </w:p>
    <w:p>
      <w:pPr>
        <w:ind w:firstLine="720"/>
        <w:jc w:val="both"/>
        <w:widowControl w:val="off"/>
      </w:pPr>
      <w:r>
        <w:t xml:space="preserve">Должностное лицо регистрирует предостережение в журнале учета объявленных пред</w:t>
      </w:r>
      <w:r>
        <w:t xml:space="preserve">остережений с присвоением регистрационного номера.</w:t>
      </w:r>
      <w:r/>
    </w:p>
    <w:p>
      <w:pPr>
        <w:ind w:firstLine="720"/>
        <w:jc w:val="both"/>
        <w:widowControl w:val="off"/>
        <w:rPr>
          <w:color w:val="000000" w:themeColor="text1"/>
        </w:rPr>
      </w:pPr>
      <w: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</w:t>
      </w:r>
      <w:r>
        <w:t xml:space="preserve">направляется должностному лицу, объявившему предостережен</w:t>
      </w:r>
      <w:r>
        <w:t xml:space="preserve">ие,</w:t>
      </w:r>
      <w:r>
        <w:rPr>
          <w:highlight w:val="white"/>
        </w:rPr>
        <w:t xml:space="preserve"> не позднее 15 рабочих дней </w:t>
      </w:r>
      <w:r>
        <w:t xml:space="preserve">с момента получения предостережения через личные кабинеты контролируемых лиц на едином портале государственных и муниципальных услуг (функций), почтовым отправлением (в случае направления на бумажном носителе) или </w:t>
      </w:r>
      <w:r>
        <w:rPr>
          <w:color w:val="000000" w:themeColor="text1"/>
        </w:rPr>
        <w:t xml:space="preserve">на указанны</w:t>
      </w:r>
      <w:r>
        <w:rPr>
          <w:color w:val="000000" w:themeColor="text1"/>
        </w:rPr>
        <w:t xml:space="preserve">й в предостережении адрес электронной почты контрольного органа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widowControl w:val="off"/>
      </w:pPr>
      <w:r>
        <w:t xml:space="preserve">Возражения составляются контролируемым лицом в произвольной форме с указанием</w:t>
      </w:r>
      <w:r>
        <w:t xml:space="preserve"> следующей информации:</w:t>
      </w:r>
      <w:r/>
    </w:p>
    <w:p>
      <w:pPr>
        <w:ind w:firstLine="720"/>
        <w:jc w:val="both"/>
        <w:widowControl w:val="off"/>
      </w:pPr>
      <w:r>
        <w:t xml:space="preserve">наименование контролируемого лица;</w:t>
      </w:r>
      <w:r/>
    </w:p>
    <w:p>
      <w:pPr>
        <w:ind w:firstLine="720"/>
        <w:jc w:val="both"/>
        <w:widowControl w:val="off"/>
      </w:pPr>
      <w:r>
        <w:t xml:space="preserve">дату и номер полученного предостережения;</w:t>
      </w:r>
      <w:r/>
    </w:p>
    <w:p>
      <w:pPr>
        <w:ind w:firstLine="720"/>
        <w:jc w:val="both"/>
        <w:widowControl w:val="off"/>
      </w:pPr>
      <w:r>
        <w:t xml:space="preserve">обоснование по</w:t>
      </w:r>
      <w:r>
        <w:t xml:space="preserve">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  <w:r/>
    </w:p>
    <w:p>
      <w:pPr>
        <w:ind w:firstLine="720"/>
        <w:jc w:val="both"/>
        <w:widowControl w:val="off"/>
      </w:pPr>
      <w:r>
        <w:t xml:space="preserve">желаемый способ получения ответа по итогам рассмотрения возражения;</w:t>
      </w:r>
      <w:r/>
    </w:p>
    <w:p>
      <w:pPr>
        <w:ind w:firstLine="720"/>
        <w:jc w:val="both"/>
        <w:widowControl w:val="off"/>
      </w:pPr>
      <w:r>
        <w:t xml:space="preserve">фамилию, имя, отчество (при наличии) уполномоченного действовать от имени контролируемого лица, направившего возражение;</w:t>
      </w:r>
      <w:r/>
    </w:p>
    <w:p>
      <w:pPr>
        <w:ind w:firstLine="720"/>
        <w:jc w:val="both"/>
        <w:widowControl w:val="off"/>
      </w:pPr>
      <w:r>
        <w:t xml:space="preserve">дату направления возражения.</w:t>
      </w:r>
      <w:r/>
    </w:p>
    <w:p>
      <w:pPr>
        <w:ind w:firstLine="720"/>
        <w:jc w:val="both"/>
        <w:widowControl w:val="off"/>
      </w:pPr>
      <w:r>
        <w:t xml:space="preserve">Возражение контрольный орган рассматривает не позднее 30 дней с даты его получения, по итогам которого при</w:t>
      </w:r>
      <w:r>
        <w:t xml:space="preserve">нимает одно из указанных решений: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</w:t>
      </w:r>
      <w:r>
        <w:t xml:space="preserve">днее 3 рабочих дней с даты принятия такого решения;</w:t>
      </w:r>
      <w:r>
        <w:rPr>
          <w:bCs/>
          <w:i/>
        </w:rPr>
      </w:r>
      <w:r>
        <w:rPr>
          <w:bCs/>
          <w:i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rPr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widowControl w:val="off"/>
      </w:pPr>
      <w:r>
        <w:t xml:space="preserve">3.7.</w:t>
      </w:r>
      <w:r>
        <w:t xml:space="preserve"> </w:t>
      </w:r>
      <w:r>
        <w:t xml:space="preserve">Ко</w:t>
      </w:r>
      <w:r>
        <w:t xml:space="preserve">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r/>
    </w:p>
    <w:p>
      <w:pPr>
        <w:ind w:firstLine="709"/>
        <w:jc w:val="both"/>
        <w:widowControl w:val="off"/>
      </w:pPr>
      <w:r>
        <w:t xml:space="preserve">Консультирование осуществляется без взиман</w:t>
      </w:r>
      <w:r>
        <w:t xml:space="preserve">ия платы.</w:t>
      </w:r>
      <w:r/>
    </w:p>
    <w:p>
      <w:pPr>
        <w:ind w:firstLine="709"/>
        <w:jc w:val="both"/>
        <w:widowControl w:val="off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highlight w:val="white"/>
        </w:rPr>
        <w:t xml:space="preserve">контрольных мероприятий.</w:t>
      </w:r>
      <w:r/>
    </w:p>
    <w:p>
      <w:pPr>
        <w:ind w:firstLine="709"/>
        <w:jc w:val="both"/>
        <w:widowControl w:val="off"/>
      </w:pPr>
      <w:r>
        <w:t xml:space="preserve">Время консультирования не должно превышать 15 минут.</w:t>
      </w:r>
      <w:r/>
    </w:p>
    <w:p>
      <w:pPr>
        <w:ind w:firstLine="709"/>
        <w:jc w:val="both"/>
        <w:widowControl w:val="off"/>
      </w:pPr>
      <w:r>
        <w:t xml:space="preserve">Личный прием граждан проводится руководителем контрольного органа.  </w:t>
      </w:r>
      <w:r/>
    </w:p>
    <w:p>
      <w:pPr>
        <w:ind w:firstLine="709"/>
        <w:jc w:val="both"/>
        <w:widowControl w:val="off"/>
      </w:pPr>
      <w:r>
        <w:t xml:space="preserve">Информация о месте приема, а также об установленных для приема днях и часах размещается на официальном сайте в сети «Интернет».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Консультирование осуществляется по следующим вопросам (пер</w:t>
      </w:r>
      <w:r>
        <w:rPr>
          <w:highlight w:val="white"/>
        </w:rPr>
        <w:t xml:space="preserve">ечень вопросов может быть изменен или расширен):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1)организация и осуществление муниципального контроля;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2)порядок осуществления контрольных и профилактических мероприятий, установленных настоящим Положением;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3)применение мер ответственности за нарушение об</w:t>
      </w:r>
      <w:r>
        <w:rPr>
          <w:bCs/>
          <w:highlight w:val="white"/>
        </w:rPr>
        <w:t xml:space="preserve">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4)получение информации о нормативных правовых актах, содержащих обязательные требования, оценка соблюдения которых осуществляется контрольным органом.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t xml:space="preserve">Консультирование в письменной форме осуществляется инспектором в сроки, установлен</w:t>
      </w:r>
      <w:r>
        <w:t xml:space="preserve">ные Федеральным законом от 02.05.2006 №59-ФЗ «О порядке рассмотрения обращений граждан Российской Федерации», в следующих случаях:</w:t>
      </w:r>
      <w:r/>
    </w:p>
    <w:p>
      <w:pPr>
        <w:ind w:firstLine="709"/>
        <w:jc w:val="both"/>
        <w:widowControl w:val="off"/>
      </w:pPr>
      <w:r>
        <w:t xml:space="preserve">1)контролируемым лицом представлен письменный запрос о предоставлении письменного ответа по вопросам консультирования;</w:t>
      </w:r>
      <w:r/>
    </w:p>
    <w:p>
      <w:pPr>
        <w:ind w:firstLine="709"/>
        <w:jc w:val="both"/>
        <w:widowControl w:val="off"/>
      </w:pPr>
      <w:r>
        <w:t xml:space="preserve">2)за в</w:t>
      </w:r>
      <w:r>
        <w:t xml:space="preserve">ремя консультирования предоставить ответ на поставленные вопросы невозможно;</w:t>
      </w:r>
      <w:r/>
    </w:p>
    <w:p>
      <w:pPr>
        <w:ind w:firstLine="709"/>
        <w:jc w:val="both"/>
        <w:widowControl w:val="off"/>
      </w:pPr>
      <w:r>
        <w:t xml:space="preserve">3)ответ на поставленные вопросы требует дополнительного запроса сведений от иных </w:t>
      </w:r>
      <w:r>
        <w:t xml:space="preserve">органов власти или лиц.</w:t>
      </w:r>
      <w:r/>
    </w:p>
    <w:p>
      <w:pPr>
        <w:ind w:firstLine="709"/>
        <w:jc w:val="both"/>
        <w:widowControl w:val="off"/>
      </w:pPr>
      <w:r>
        <w:t xml:space="preserve">Если поставленные во время консультирования вопросы не относятся к осущест</w:t>
      </w:r>
      <w:r>
        <w:t xml:space="preserve">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  <w:r/>
    </w:p>
    <w:p>
      <w:pPr>
        <w:ind w:firstLine="709"/>
        <w:jc w:val="both"/>
        <w:widowControl w:val="off"/>
      </w:pPr>
      <w:r>
        <w:t xml:space="preserve">При осуществлении консультирования должностное лицо к</w:t>
      </w:r>
      <w:r>
        <w:t xml:space="preserve">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/>
    </w:p>
    <w:p>
      <w:pPr>
        <w:ind w:firstLine="709"/>
        <w:jc w:val="both"/>
        <w:widowControl w:val="off"/>
      </w:pPr>
      <w:r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</w:t>
      </w:r>
      <w:r>
        <w:rPr>
          <w:highlight w:val="white"/>
        </w:rPr>
        <w:t xml:space="preserve">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 xml:space="preserve">экспертизы, испытаний.</w:t>
      </w:r>
      <w:r/>
    </w:p>
    <w:p>
      <w:pPr>
        <w:ind w:firstLine="709"/>
        <w:jc w:val="both"/>
        <w:widowControl w:val="off"/>
      </w:pPr>
      <w:r>
        <w:t xml:space="preserve">Информация, ставшая известной должностному лицу кон</w:t>
      </w:r>
      <w:r>
        <w:t xml:space="preserve">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  <w:r/>
    </w:p>
    <w:p>
      <w:pPr>
        <w:ind w:firstLine="709"/>
        <w:jc w:val="both"/>
        <w:widowControl w:val="off"/>
      </w:pPr>
      <w:r>
        <w:t xml:space="preserve">Контрольный орган осуществляет учет консультирований, который проводится посредством в</w:t>
      </w:r>
      <w:r>
        <w:t xml:space="preserve">несения соответствующей записи в журнал консультирования.</w:t>
      </w:r>
      <w:r/>
    </w:p>
    <w:p>
      <w:pPr>
        <w:ind w:firstLine="709"/>
        <w:jc w:val="both"/>
        <w:widowControl w:val="off"/>
      </w:pPr>
      <w: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</w:t>
      </w:r>
      <w:r>
        <w:t xml:space="preserve"> письменного разъяснения, подписанного уполномоченным должностным лицом.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3.8.</w:t>
      </w:r>
      <w:r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highlight w:val="white"/>
        </w:rPr>
        <w:t xml:space="preserve">или мобильного приложения «Ин</w:t>
      </w:r>
      <w:r>
        <w:rPr>
          <w:highlight w:val="white"/>
        </w:rPr>
        <w:t xml:space="preserve">спектор».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</w:t>
      </w:r>
      <w:r>
        <w:t xml:space="preserve">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 xml:space="preserve">инспектор</w:t>
      </w:r>
      <w:r>
        <w:t xml:space="preserve"> осуществляет ознакомление с объектом контроля, сбор сведений, необходимых для отнесен</w:t>
      </w:r>
      <w:r>
        <w:t xml:space="preserve">ия объектов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20"/>
        <w:jc w:val="both"/>
        <w:rPr>
          <w:highlight w:val="yellow"/>
        </w:rPr>
      </w:pPr>
      <w: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</w:t>
      </w:r>
      <w:r>
        <w:t xml:space="preserve">уемого лица 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20"/>
        <w:jc w:val="both"/>
        <w:widowControl w:val="off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 xml:space="preserve">порядке и случаях, предусмотренных статьями 25, 52.1</w:t>
      </w:r>
      <w:r>
        <w:t xml:space="preserve"> Федерального закона №248-ФЗ.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</w:t>
      </w:r>
      <w:r>
        <w:rPr>
          <w:highlight w:val="white"/>
        </w:rPr>
        <w:t xml:space="preserve">еленным категориям риска, устанавливаются соразмерно рискам причинения вреда (ущерба).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rPr>
          <w:color w:val="000000"/>
          <w:highlight w:val="white"/>
        </w:rPr>
        <w:t xml:space="preserve">Периодичность проведения обязательных профилактических визитов составляет:</w:t>
      </w:r>
      <w:r>
        <w:rPr>
          <w:highlight w:val="white"/>
        </w:rPr>
        <w:t xml:space="preserve"> 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 xml:space="preserve">периодичность устанавливается Правительством Российской Федерации</w:t>
      </w:r>
      <w:r>
        <w:rPr>
          <w:highlight w:val="white"/>
        </w:rPr>
        <w:t xml:space="preserve">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t xml:space="preserve">д</w:t>
      </w:r>
      <w:r>
        <w:rPr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не реже 1 раза в 5 лет</w:t>
      </w:r>
      <w:r>
        <w:rPr>
          <w:i/>
          <w:iCs/>
          <w:highlight w:val="white"/>
        </w:rPr>
        <w:t xml:space="preserve">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20"/>
        <w:jc w:val="both"/>
        <w:widowControl w:val="off"/>
      </w:pPr>
      <w:r>
        <w:t xml:space="preserve">По окончании проведения обязательного профилактического визит</w:t>
      </w:r>
      <w:r>
        <w:t xml:space="preserve">а должностным 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Предписание об устранении выявленных нарушений обязательных требований выдается контролируемому лицу</w:t>
      </w:r>
      <w:r>
        <w:t xml:space="preserve">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  <w:r/>
    </w:p>
    <w:p>
      <w:pPr>
        <w:ind w:firstLine="720"/>
        <w:jc w:val="both"/>
        <w:widowControl w:val="off"/>
      </w:pPr>
      <w:r>
        <w:t xml:space="preserve">Профилактический визит по инициативе контролируемого лица проводится в </w:t>
      </w:r>
      <w:r>
        <w:t xml:space="preserve">соответ</w:t>
      </w:r>
      <w:r>
        <w:t xml:space="preserve">ствии с требованиями статьи 52.2 Федерального закона №248-ФЗ. </w:t>
      </w:r>
      <w:r/>
    </w:p>
    <w:p>
      <w:pPr>
        <w:ind w:firstLine="709"/>
      </w:pPr>
      <w:r/>
      <w:r/>
    </w:p>
    <w:p>
      <w:pPr>
        <w:jc w:val="center"/>
        <w:widowControl w:val="off"/>
      </w:pPr>
      <w:r>
        <w:t xml:space="preserve">4.Осуществление муниципального контроля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t xml:space="preserve">4.1.</w:t>
      </w:r>
      <w:r>
        <w:t xml:space="preserve"> </w:t>
      </w:r>
      <w:r>
        <w:t xml:space="preserve">Муниципальный контроль со взаимодействием с контролируемым лицом осуществляется при проведении следующих </w:t>
      </w:r>
      <w:r>
        <w:rPr>
          <w:highlight w:val="white"/>
        </w:rPr>
        <w:t xml:space="preserve">контрольных мероприятий: </w:t>
      </w:r>
      <w:r/>
    </w:p>
    <w:p>
      <w:pPr>
        <w:ind w:firstLine="709"/>
        <w:jc w:val="both"/>
        <w:widowControl w:val="off"/>
      </w:pPr>
      <w:r>
        <w:t xml:space="preserve">1)инспекционный</w:t>
      </w:r>
      <w:r>
        <w:t xml:space="preserve"> визит;</w:t>
      </w:r>
      <w:r/>
    </w:p>
    <w:p>
      <w:pPr>
        <w:ind w:firstLine="709"/>
        <w:jc w:val="both"/>
        <w:widowControl w:val="off"/>
      </w:pPr>
      <w:r>
        <w:t xml:space="preserve">2)рейдовый осмотр;</w:t>
      </w:r>
      <w:r/>
    </w:p>
    <w:p>
      <w:pPr>
        <w:ind w:firstLine="709"/>
        <w:jc w:val="both"/>
        <w:widowControl w:val="off"/>
      </w:pPr>
      <w:r>
        <w:t xml:space="preserve">3)документарная проверка;</w:t>
      </w:r>
      <w:r/>
    </w:p>
    <w:p>
      <w:pPr>
        <w:ind w:firstLine="709"/>
        <w:jc w:val="both"/>
        <w:widowControl w:val="off"/>
      </w:pPr>
      <w:r>
        <w:t xml:space="preserve">4)выездная проверка.</w:t>
      </w:r>
      <w:r/>
    </w:p>
    <w:p>
      <w:pPr>
        <w:ind w:firstLine="709"/>
        <w:jc w:val="both"/>
        <w:widowControl w:val="off"/>
        <w:rPr>
          <w:i/>
        </w:rPr>
      </w:pPr>
      <w:r>
        <w:t xml:space="preserve">4.2</w:t>
      </w:r>
      <w:r>
        <w:rPr>
          <w:i/>
        </w:rPr>
        <w:t xml:space="preserve">.</w:t>
      </w:r>
      <w:r>
        <w:rPr>
          <w:i/>
        </w:rPr>
        <w:t xml:space="preserve"> </w:t>
      </w:r>
      <w: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</w:t>
      </w:r>
      <w:r>
        <w:t xml:space="preserve"> также с использованием мобильного приложения «Инспектор».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widowControl w:val="off"/>
      </w:pPr>
      <w:r>
        <w:t xml:space="preserve">4.3.</w:t>
      </w:r>
      <w:r>
        <w:t xml:space="preserve"> </w:t>
      </w:r>
      <w:r>
        <w:t xml:space="preserve">При проведении </w:t>
      </w:r>
      <w:r>
        <w:rPr>
          <w:highlight w:val="white"/>
        </w:rPr>
        <w:t xml:space="preserve">контрольных мероприятий</w:t>
      </w:r>
      <w:r>
        <w:t xml:space="preserve"> в рамках осуществления муниципального контроля должностное лицо контрольного органа:</w:t>
      </w:r>
      <w:r/>
    </w:p>
    <w:p>
      <w:pPr>
        <w:ind w:firstLine="709"/>
        <w:jc w:val="both"/>
        <w:widowControl w:val="off"/>
      </w:pPr>
      <w:r>
        <w:t xml:space="preserve">совершает действия, предусмотренные частью 2 статьи 29 Федерального з</w:t>
      </w:r>
      <w:r>
        <w:t xml:space="preserve">акона №248-ФЗ;</w:t>
      </w:r>
      <w:r/>
    </w:p>
    <w:p>
      <w:pPr>
        <w:ind w:firstLine="709"/>
        <w:jc w:val="both"/>
        <w:widowControl w:val="off"/>
      </w:pPr>
      <w:r>
        <w:t xml:space="preserve">принимает решения, предусмотренные частью 2 статьи 90 Федерального закона №248-ФЗ;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</w:t>
      </w:r>
      <w:r>
        <w:t xml:space="preserve">о федеральными законами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4.4.В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</w:t>
      </w:r>
      <w:r>
        <w:t xml:space="preserve">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</w:t>
      </w:r>
      <w:r>
        <w:t xml:space="preserve">видеозаписи, фотоаппаратов, необходимых для проведения </w:t>
      </w:r>
      <w:r>
        <w:rPr>
          <w:highlight w:val="white"/>
        </w:rPr>
        <w:t xml:space="preserve">контрольных мероприятий</w:t>
      </w:r>
      <w:r>
        <w:t xml:space="preserve">, фотосъемки, аудио- и видеозаписи, иных способов фиксации доказательств нарушений обязательных </w:t>
      </w:r>
      <w:r>
        <w:t xml:space="preserve">требований при осуществлении контрольных мероприятий принимается инспекторами самостоятельно.</w:t>
      </w:r>
      <w:r/>
    </w:p>
    <w:p>
      <w:pPr>
        <w:ind w:firstLine="720"/>
        <w:jc w:val="both"/>
        <w:widowControl w:val="off"/>
      </w:pPr>
      <w:r>
        <w:t xml:space="preserve"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Фиксаци</w:t>
      </w:r>
      <w:r>
        <w:t xml:space="preserve">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</w:t>
      </w:r>
      <w:r>
        <w:t xml:space="preserve">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</w:t>
      </w:r>
      <w:r>
        <w:t xml:space="preserve">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bCs/>
          <w:i/>
        </w:rPr>
      </w:r>
      <w:r>
        <w:rPr>
          <w:bCs/>
          <w:i/>
        </w:rPr>
      </w:r>
    </w:p>
    <w:p>
      <w:pPr>
        <w:ind w:firstLine="709"/>
        <w:jc w:val="both"/>
        <w:widowControl w:val="off"/>
        <w:rPr>
          <w:i/>
        </w:rPr>
      </w:pPr>
      <w:r>
        <w:t xml:space="preserve">4.5</w:t>
      </w:r>
      <w:r>
        <w:t xml:space="preserve">.</w:t>
      </w:r>
      <w:r>
        <w:t xml:space="preserve"> </w:t>
      </w:r>
      <w:r>
        <w:t xml:space="preserve">При осуществлении </w:t>
      </w:r>
      <w:r>
        <w:t xml:space="preserve">муниципального контроля плановые контрольные мероприятия не проводятся. </w:t>
      </w:r>
      <w:r>
        <w:rPr>
          <w:i/>
        </w:rPr>
      </w:r>
      <w:r>
        <w:rPr>
          <w:i/>
        </w:rPr>
      </w:r>
    </w:p>
    <w:p>
      <w:pPr>
        <w:ind w:firstLine="720"/>
        <w:jc w:val="both"/>
        <w:widowControl w:val="off"/>
      </w:pPr>
      <w:r>
        <w:t xml:space="preserve">4.6.</w:t>
      </w:r>
      <w:r>
        <w:t xml:space="preserve"> </w:t>
      </w:r>
      <w:r>
        <w:t xml:space="preserve">Контрольные мероприятия осуществляются на внеплановой основе.</w:t>
      </w:r>
      <w:r/>
    </w:p>
    <w:p>
      <w:pPr>
        <w:ind w:firstLine="720"/>
        <w:jc w:val="both"/>
        <w:widowControl w:val="off"/>
      </w:pPr>
      <w:r>
        <w:t xml:space="preserve">4.7.</w:t>
      </w:r>
      <w:r>
        <w:t xml:space="preserve"> </w:t>
      </w:r>
      <w:r>
        <w:t xml:space="preserve">Для проведения </w:t>
      </w:r>
      <w:r>
        <w:rPr>
          <w:highlight w:val="white"/>
        </w:rPr>
        <w:t xml:space="preserve">контрольного мероприятия</w:t>
      </w:r>
      <w:r>
        <w:t xml:space="preserve">, предусматривающего взаимодействие с контролируемым лицом, а также докуме</w:t>
      </w:r>
      <w:r>
        <w:t xml:space="preserve">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4.8.</w:t>
      </w:r>
      <w:r>
        <w:t xml:space="preserve"> </w:t>
      </w:r>
      <w:r>
        <w:t xml:space="preserve">Инспекционный визит проводится в порядке и в сроки, установленные статьей 70 </w:t>
      </w:r>
      <w:r>
        <w:t xml:space="preserve">Федерально</w:t>
      </w:r>
      <w:r>
        <w:t xml:space="preserve">го закона №248-ФЗ.</w:t>
      </w:r>
      <w:r/>
    </w:p>
    <w:p>
      <w:pPr>
        <w:ind w:firstLine="709"/>
        <w:jc w:val="both"/>
        <w:widowControl w:val="off"/>
      </w:pPr>
      <w:r>
        <w:t xml:space="preserve">В ходе инспекционного визита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4)инструментальное обследование;</w:t>
      </w:r>
      <w:r/>
    </w:p>
    <w:p>
      <w:pPr>
        <w:ind w:firstLine="709"/>
        <w:jc w:val="both"/>
        <w:widowControl w:val="off"/>
      </w:pPr>
      <w:r>
        <w:t xml:space="preserve">5)истребование докуме</w:t>
      </w:r>
      <w:r>
        <w:t xml:space="preserve">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ind w:firstLine="709"/>
        <w:jc w:val="both"/>
        <w:widowControl w:val="off"/>
      </w:pPr>
      <w:r>
        <w:t xml:space="preserve">Внеплановый инс</w:t>
      </w:r>
      <w:r>
        <w:t xml:space="preserve">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4.9.</w:t>
      </w:r>
      <w:r>
        <w:t xml:space="preserve"> </w:t>
      </w:r>
      <w:r>
        <w:t xml:space="preserve">Рейдовый осмотр </w:t>
      </w:r>
      <w:r>
        <w:t xml:space="preserve">проводится в порядке и в сроки, установленные статьей 71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рейдового осмотра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4)истребование документов;</w:t>
      </w:r>
      <w:r/>
    </w:p>
    <w:p>
      <w:pPr>
        <w:ind w:firstLine="709"/>
        <w:jc w:val="both"/>
        <w:widowControl w:val="off"/>
      </w:pPr>
      <w:r>
        <w:t xml:space="preserve">5)инструментал</w:t>
      </w:r>
      <w:r>
        <w:t xml:space="preserve">ьное обследование. </w:t>
      </w:r>
      <w:r>
        <w:tab/>
      </w:r>
      <w:r/>
    </w:p>
    <w:p>
      <w:pPr>
        <w:ind w:firstLine="709"/>
        <w:jc w:val="both"/>
        <w:widowControl w:val="off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4.10.</w:t>
      </w:r>
      <w:r>
        <w:t xml:space="preserve"> </w:t>
      </w:r>
      <w:r>
        <w:t xml:space="preserve">Документарная проверка проводится в порядке и в сроки, установленные статьей 72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документарной проверки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2)истребование документов.</w:t>
      </w:r>
      <w:r/>
    </w:p>
    <w:p>
      <w:pPr>
        <w:ind w:firstLine="709"/>
        <w:jc w:val="both"/>
        <w:widowControl w:val="off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  <w:r/>
    </w:p>
    <w:p>
      <w:pPr>
        <w:ind w:firstLine="709"/>
        <w:jc w:val="both"/>
        <w:spacing w:line="288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4.11</w:t>
      </w:r>
      <w:r>
        <w:rPr>
          <w:color w:val="ff0000"/>
        </w:rPr>
        <w:t xml:space="preserve">.</w:t>
      </w:r>
      <w:r>
        <w:rPr>
          <w:highlight w:val="white"/>
        </w:rPr>
        <w:t xml:space="preserve">В соответствии со статьей 73 Фе</w:t>
      </w:r>
      <w:r>
        <w:rPr>
          <w:highlight w:val="white"/>
        </w:rPr>
        <w:t xml:space="preserve">дерального закона №248-ФЗ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</w:t>
      </w:r>
      <w:r>
        <w:rPr>
          <w:highlight w:val="white"/>
        </w:rPr>
        <w:t xml:space="preserve">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сорока</w:t>
      </w:r>
      <w:r>
        <w:rPr>
          <w:highlight w:val="white"/>
        </w:rPr>
        <w:t xml:space="preserve">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</w:t>
      </w:r>
      <w:r>
        <w:rPr>
          <w:highlight w:val="white"/>
        </w:rPr>
        <w:t xml:space="preserve">елению организации или производственному объекту.</w:t>
      </w:r>
      <w: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В ходе выездной проверки могут совершаться следующие контрольные действия: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1)осмотр;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2)опрос;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3)получение письменных объяснений;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4)истребование документов;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5)инструментальное обследование.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</w:t>
      </w:r>
      <w:r>
        <w:rPr>
          <w:highlight w:val="white"/>
        </w:rPr>
        <w:t xml:space="preserve"> с пунктами 3, </w:t>
      </w:r>
      <w:r>
        <w:rPr>
          <w:highlight w:val="white"/>
        </w:rPr>
        <w:t xml:space="preserve">4, 6, 8 части 1, частью 3 статьи 57 и частью 12 и 12.1 статьи 66 Федерального закона №248-ФЗ.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09"/>
        <w:jc w:val="both"/>
      </w:pPr>
      <w:r>
        <w:t xml:space="preserve">4</w:t>
      </w:r>
      <w:r>
        <w:t xml:space="preserve">.12</w:t>
      </w:r>
      <w:r>
        <w:t xml:space="preserve">.</w:t>
      </w:r>
      <w:r>
        <w:t xml:space="preserve"> </w:t>
      </w:r>
      <w:r>
        <w:t xml:space="preserve">Без взаимодействия с контролируемым лицом осуществляются следующие контрольные мероприятия: </w:t>
      </w:r>
      <w:r/>
    </w:p>
    <w:p>
      <w:pPr>
        <w:ind w:firstLine="709"/>
        <w:jc w:val="both"/>
        <w:widowControl w:val="off"/>
      </w:pPr>
      <w:r>
        <w:t xml:space="preserve">1)наблюдение за соблюдением обязательных требований;</w:t>
      </w:r>
      <w:r/>
    </w:p>
    <w:p>
      <w:pPr>
        <w:ind w:firstLine="709"/>
        <w:jc w:val="both"/>
        <w:widowControl w:val="off"/>
      </w:pPr>
      <w:r>
        <w:t xml:space="preserve">2)выездное обследование.</w:t>
      </w:r>
      <w:r/>
    </w:p>
    <w:p>
      <w:pPr>
        <w:ind w:firstLine="709"/>
        <w:jc w:val="both"/>
        <w:widowControl w:val="off"/>
      </w:pPr>
      <w:r>
        <w:t xml:space="preserve">Контрольные мероприятия без взаимодействия проводятся на основании заданий уполно</w:t>
      </w:r>
      <w:r>
        <w:t xml:space="preserve">моченных должностных лиц контрольного органа, включая задания, содержащиеся в планах работы контрольного органа.</w:t>
      </w:r>
      <w:r/>
    </w:p>
    <w:p>
      <w:pPr>
        <w:ind w:firstLine="709"/>
        <w:jc w:val="both"/>
        <w:widowControl w:val="off"/>
      </w:pPr>
      <w:r>
        <w:t xml:space="preserve">4.13.</w:t>
      </w:r>
      <w:r>
        <w:t xml:space="preserve">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</w:t>
      </w:r>
      <w:r>
        <w:t xml:space="preserve">кона №248-ФЗ. </w:t>
      </w:r>
      <w:r/>
    </w:p>
    <w:p>
      <w:pPr>
        <w:ind w:firstLine="709"/>
        <w:jc w:val="both"/>
        <w:widowControl w:val="off"/>
      </w:pPr>
      <w:r>
        <w:t xml:space="preserve">4.14.</w:t>
      </w:r>
      <w:r>
        <w:t xml:space="preserve"> </w:t>
      </w:r>
      <w:r>
        <w:t xml:space="preserve">Выездное обследование проводится в порядке, установленном статьей 75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</w:t>
      </w:r>
      <w:r>
        <w:t xml:space="preserve">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2)инструментальное обследование (с применением видеозаписи).</w:t>
      </w:r>
      <w:r/>
    </w:p>
    <w:p>
      <w:pPr>
        <w:ind w:firstLine="709"/>
        <w:jc w:val="both"/>
        <w:widowControl w:val="off"/>
        <w:rPr>
          <w:color w:val="ff0000"/>
          <w:highlight w:val="white"/>
        </w:rPr>
      </w:pPr>
      <w:r>
        <w:rPr>
          <w:highlight w:val="white"/>
        </w:rPr>
        <w:t xml:space="preserve">4.15.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Индивидуальный предприниматель, гражданин, являющиеся контролируемыми лицами, вправе в соответствии с частью 8 статьи 31 Федерального закона №24</w:t>
      </w:r>
      <w:r>
        <w:rPr>
          <w:bCs/>
          <w:highlight w:val="white"/>
        </w:rPr>
        <w:t xml:space="preserve">8-ФЗ представить в контрольный орган информацию о невозможности присутствия при проведении контрольного мероприятия в следующих случаях: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1)нахождения на стационарном лечении в медицинском учреждении;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w:t xml:space="preserve">2</w:t>
      </w:r>
      <w:r>
        <w:rPr>
          <w:bCs/>
          <w:highlight w:val="white"/>
        </w:rPr>
        <w:t xml:space="preserve">)длительная командировка или иной вынужденный отъезд в </w:t>
      </w:r>
      <w:r>
        <w:rPr>
          <w:bCs/>
          <w:highlight w:val="white"/>
        </w:rPr>
        <w:t xml:space="preserve">другой регион, в том числе за пределы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3)административного ареста;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</w:t>
      </w:r>
      <w:r>
        <w:rPr>
          <w:bCs/>
          <w:highlight w:val="white"/>
        </w:rPr>
        <w:t xml:space="preserve">е, крупная авария, эпидемия и другие чрезвычайные обстоятельства).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 Информация контролируемого лица должна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а)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описание обстоятельств невозможности присутствия при проведении контрольного мероприятия и их продолжительность;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б)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сведения о причинно-с</w:t>
      </w:r>
      <w:r>
        <w:rPr>
          <w:bCs/>
          <w:highlight w:val="white"/>
        </w:rPr>
        <w:t xml:space="preserve">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в)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указание на срок, необходимый для устранения обстоятельств, препятствующих присутствию при проведении контрольного ме</w:t>
      </w:r>
      <w:r>
        <w:rPr>
          <w:bCs/>
          <w:highlight w:val="white"/>
        </w:rPr>
        <w:t xml:space="preserve">роприятия.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bCs/>
          <w:highlight w:val="white"/>
        </w:rPr>
      </w:pPr>
      <w:r>
        <w:rPr>
          <w:bCs/>
          <w:highlight w:val="white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4.16.</w:t>
      </w:r>
      <w:r>
        <w:rPr>
          <w:bCs/>
        </w:rPr>
        <w:t xml:space="preserve"> </w:t>
      </w:r>
      <w:r>
        <w:rPr>
          <w:bCs/>
        </w:rPr>
        <w:t xml:space="preserve">Осмотр осущест</w:t>
      </w:r>
      <w:r>
        <w:rPr>
          <w:bCs/>
        </w:rPr>
        <w:t xml:space="preserve">вляется в порядке, установленном статьей 76 Федерального закона №248-ФЗ.</w:t>
      </w:r>
      <w:r/>
    </w:p>
    <w:p>
      <w:pPr>
        <w:pStyle w:val="792"/>
        <w:ind w:firstLine="72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>
        <w:rPr>
          <w:sz w:val="24"/>
          <w:szCs w:val="24"/>
        </w:rPr>
        <w:t xml:space="preserve"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jc w:val="both"/>
        <w:widowControl w:val="off"/>
      </w:pPr>
      <w:r>
        <w:rPr>
          <w:bCs/>
        </w:rPr>
        <w:tab/>
        <w:t xml:space="preserve">4.17.</w:t>
      </w:r>
      <w:r>
        <w:rPr>
          <w:bCs/>
        </w:rPr>
        <w:t xml:space="preserve"> </w:t>
      </w:r>
      <w:r>
        <w:rPr>
          <w:bCs/>
        </w:rPr>
        <w:t xml:space="preserve">Опрос осуществляется в порядке, установленном статьей 78 </w:t>
      </w:r>
      <w:r>
        <w:rPr>
          <w:bCs/>
        </w:rPr>
        <w:t xml:space="preserve">Федерального закона №248-ФЗ.</w:t>
      </w:r>
      <w:r/>
    </w:p>
    <w:p>
      <w:pPr>
        <w:jc w:val="both"/>
        <w:widowControl w:val="off"/>
      </w:pPr>
      <w:r>
        <w:tab/>
        <w:t xml:space="preserve">Опрос может проводиться при осуществлении инспекционного визита, рейдового осмотра и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Опрос может осуществляться с использованием средств дистанционного </w:t>
      </w:r>
      <w:r>
        <w:rPr>
          <w:bCs/>
        </w:rPr>
        <w:t xml:space="preserve">взаимодействия, в том числе посредством видео-конферен</w:t>
      </w:r>
      <w:r>
        <w:rPr>
          <w:bCs/>
        </w:rPr>
        <w:t xml:space="preserve">ц-связи, а также с использованием мобильного приложения «Инспектор».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4.18.</w:t>
      </w:r>
      <w:r>
        <w:rPr>
          <w:bCs/>
        </w:rPr>
        <w:t xml:space="preserve"> </w:t>
      </w:r>
      <w:r>
        <w:rPr>
          <w:bCs/>
        </w:rPr>
        <w:t xml:space="preserve">Получение письменных объяснений осуществляется в порядке, установленном статьей 79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Получение письменных объяснений может проводиться при </w:t>
      </w:r>
      <w:r>
        <w:t xml:space="preserve">осуществлении инспекционного</w:t>
      </w:r>
      <w:r>
        <w:t xml:space="preserve"> визита, рейдового осмотра, документарной проверки,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48.Истребование документов осуществляется в порядке, установленном статьей 80 Федерального закона №248-ФЗ.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Истребование документов </w:t>
      </w:r>
      <w:r>
        <w:t xml:space="preserve">может проводиться при осуществлении</w:t>
      </w:r>
      <w:r>
        <w:rPr>
          <w:bCs/>
        </w:rPr>
        <w:t xml:space="preserve"> </w:t>
      </w:r>
      <w:r>
        <w:t xml:space="preserve">инсп</w:t>
      </w:r>
      <w:r>
        <w:t xml:space="preserve">екционного визита, рейдового осмотра, документарной проверки и выездной проверки</w:t>
      </w:r>
      <w:r>
        <w:rPr>
          <w:bCs/>
        </w:rPr>
        <w:t xml:space="preserve">. </w:t>
      </w:r>
      <w:r/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color w:val="000000"/>
        </w:rPr>
        <w:tab/>
      </w:r>
      <w:r>
        <w:rPr>
          <w:color w:val="000000"/>
        </w:rPr>
        <w:t xml:space="preserve">4.19.</w:t>
      </w:r>
      <w:r>
        <w:rPr>
          <w:color w:val="000000"/>
        </w:rPr>
        <w:t xml:space="preserve"> </w:t>
      </w:r>
      <w:r>
        <w:rPr>
          <w:bCs/>
        </w:rPr>
        <w:t xml:space="preserve">Инструментальное обследование осуществляется в соответствии со статьей 82 Федерального закона №248-ФЗ.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может проводиться при </w:t>
      </w:r>
      <w:r>
        <w:rPr>
          <w:bCs/>
        </w:rPr>
        <w:t xml:space="preserve"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ind w:firstLine="720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Ко</w:t>
      </w:r>
      <w:r>
        <w:rPr>
          <w:bCs/>
        </w:rPr>
        <w:t xml:space="preserve">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 xml:space="preserve">контрольного органа о целях проведения инструментального обследования.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highlight w:val="white"/>
        </w:rPr>
        <w:t xml:space="preserve">По результатам инструментального обследования ин</w:t>
      </w:r>
      <w:r>
        <w:rPr>
          <w:bCs/>
          <w:highlight w:val="white"/>
        </w:rPr>
        <w:t xml:space="preserve">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</w:rPr>
        <w:t xml:space="preserve"> специалиста, составивших протокол, сведения о контроли</w:t>
      </w:r>
      <w:r>
        <w:rPr>
          <w:bCs/>
        </w:rPr>
        <w:t xml:space="preserve">руемом лице или его представителе, присутствовавших при проведении инструментального обследования.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Информация о проведении инструментального обследования включается в акт контрольного мероприятия.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5.Результаты контрольного мероприятия</w:t>
      </w:r>
      <w:r/>
    </w:p>
    <w:p>
      <w:pPr>
        <w:jc w:val="center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720"/>
        <w:jc w:val="both"/>
      </w:pPr>
      <w:r>
        <w:t xml:space="preserve">5.1.</w:t>
      </w:r>
      <w:r>
        <w:t xml:space="preserve"> </w:t>
      </w:r>
      <w:r>
        <w:t xml:space="preserve"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  <w:r/>
    </w:p>
    <w:p>
      <w:pPr>
        <w:jc w:val="both"/>
      </w:pPr>
      <w:r>
        <w:tab/>
        <w:t xml:space="preserve">5.2.</w:t>
      </w:r>
      <w:r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 xml:space="preserve">предусматривающего взаимодействие с контролируемым </w:t>
      </w:r>
      <w:r>
        <w:rPr>
          <w:highlight w:val="white"/>
        </w:rPr>
        <w:t xml:space="preserve">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</w:t>
      </w:r>
      <w:r>
        <w:rPr>
          <w:highlight w:val="white"/>
        </w:rPr>
        <w:t xml:space="preserve">аким нормативным правовым актом и его структурной единицей оно установлено. </w:t>
      </w:r>
      <w:r/>
    </w:p>
    <w:p>
      <w:pPr>
        <w:ind w:firstLine="720"/>
        <w:jc w:val="both"/>
      </w:pPr>
      <w:r>
        <w:rPr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</w:t>
      </w:r>
      <w:r>
        <w:rPr>
          <w:highlight w:val="white"/>
        </w:rPr>
        <w:t xml:space="preserve">странения.</w:t>
      </w:r>
      <w:r>
        <w:t xml:space="preserve"> </w:t>
      </w:r>
      <w:r/>
    </w:p>
    <w:p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  <w:r/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5.3.</w:t>
      </w:r>
      <w:r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 xml:space="preserve">По результатам проведения контрольного меропри</w:t>
      </w:r>
      <w:r>
        <w:rPr>
          <w:bCs/>
          <w:color w:val="000000" w:themeColor="text1"/>
          <w:highlight w:val="white"/>
        </w:rPr>
        <w:t xml:space="preserve">ятия без взаимодействия акт составляется инспектором при выявлении нарушений обязательных требований, а также в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1)выявления сведений, которые являются основанием для предъявления предостережения о недопустимости нарушения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2)по итогам проведения контрольного мероприятия без взаимодействия, проводимого в целях оценки исполнения ранее выданного предписания об устранении выявленных нарушений, если такая оценка предусмотрена действующим законодательством;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3)в иных случаях, когда</w:t>
      </w:r>
      <w:r>
        <w:rPr>
          <w:bCs/>
          <w:color w:val="000000" w:themeColor="text1"/>
          <w:highlight w:val="white"/>
        </w:rPr>
        <w:t xml:space="preserve"> в ходе контрольного мероприятия без взаимодействия могут быть зафиксированы факты, имеющие правовое значение для осуществления муниципального контроля, управления рисками.</w:t>
      </w:r>
      <w:r>
        <w:rPr>
          <w:bCs/>
          <w:color w:val="000000" w:themeColor="text1"/>
          <w:highlight w:val="white"/>
        </w:rPr>
      </w:r>
      <w:r>
        <w:rPr>
          <w:bCs/>
          <w:color w:val="000000" w:themeColor="text1"/>
          <w:highlight w:val="white"/>
        </w:rPr>
      </w:r>
    </w:p>
    <w:p>
      <w:pPr>
        <w:jc w:val="both"/>
        <w:widowControl w:val="off"/>
      </w:pPr>
      <w:r>
        <w:tab/>
      </w:r>
      <w:r>
        <w:t xml:space="preserve">5.4</w:t>
      </w:r>
      <w:r>
        <w:t xml:space="preserve">.</w:t>
      </w:r>
      <w:r>
        <w:t xml:space="preserve"> </w:t>
      </w:r>
      <w:r>
        <w:t xml:space="preserve">Оформление акта производится в соответствии с частью 3 статьи 87 Федерального закона №248-ФЗ.</w:t>
      </w:r>
      <w:r/>
    </w:p>
    <w:p>
      <w:pPr>
        <w:jc w:val="both"/>
        <w:widowControl w:val="off"/>
        <w:rPr>
          <w:highlight w:val="white"/>
        </w:rPr>
      </w:pPr>
      <w:r>
        <w:rPr>
          <w:sz w:val="28"/>
          <w:szCs w:val="28"/>
        </w:rPr>
        <w:tab/>
      </w:r>
      <w:r>
        <w:t xml:space="preserve">5.5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</w:t>
      </w:r>
      <w:r>
        <w:rPr>
          <w:highlight w:val="white"/>
        </w:rPr>
        <w:t xml:space="preserve"> после его оформления.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widowControl w:val="off"/>
      </w:pPr>
      <w:r>
        <w:rPr>
          <w:highlight w:val="white"/>
        </w:rPr>
        <w:tab/>
        <w:t xml:space="preserve">5.6.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Документы, оформ</w:t>
      </w:r>
      <w:r>
        <w:t xml:space="preserve"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</w:t>
      </w:r>
      <w:r>
        <w:t xml:space="preserve">ются усиленной квалифицированной электронной подписью.</w:t>
      </w:r>
      <w:r/>
    </w:p>
    <w:p>
      <w:pPr>
        <w:jc w:val="both"/>
        <w:widowControl w:val="off"/>
      </w:pPr>
      <w:r>
        <w:tab/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</w:t>
      </w:r>
      <w:r>
        <w:t xml:space="preserve"> акта по результатам </w:t>
      </w:r>
      <w:r>
        <w:rPr>
          <w:highlight w:val="white"/>
        </w:rPr>
        <w:t xml:space="preserve">контрольного мероприятия</w:t>
      </w:r>
      <w:r>
        <w:t xml:space="preserve"> на месте его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 xml:space="preserve">Федерального закона №248-ФЗ, или в иных случаях,  контрольный орган направляет акт конт</w:t>
      </w:r>
      <w:r>
        <w:t xml:space="preserve">ролируемому лицу в порядке, установленном статьей 21 Федерального закона №248-ФЗ.</w:t>
      </w:r>
      <w:r/>
    </w:p>
    <w:p>
      <w:pPr>
        <w:jc w:val="both"/>
        <w:widowControl w:val="off"/>
      </w:pPr>
      <w:r>
        <w:tab/>
        <w:t xml:space="preserve"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</w:t>
      </w:r>
      <w:r>
        <w:t xml:space="preserve">едерального закона №248-ФЗ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5.9.В случае вы</w:t>
      </w:r>
      <w:r>
        <w:t xml:space="preserve">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5.10.</w:t>
      </w:r>
      <w:r>
        <w:t xml:space="preserve"> </w:t>
      </w:r>
      <w:r>
        <w:t xml:space="preserve">Предписание об устранении выявленных нарушений </w:t>
      </w:r>
      <w:r>
        <w:t xml:space="preserve">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/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6. Обжалование решений контрольного ор</w:t>
      </w:r>
      <w:r>
        <w:t xml:space="preserve">гана, действий (бездействия) его должностного лица</w:t>
      </w:r>
      <w:r/>
    </w:p>
    <w:p>
      <w:pPr>
        <w:ind w:firstLine="720"/>
        <w:jc w:val="both"/>
        <w:widowControl w:val="off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органа, действия (бездействие) его должностных лиц в порядке, установленном законодательством.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7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Положению о муниципальном лесном контроле  на территории города Мегиона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Критерии </w:t>
      </w:r>
      <w:r>
        <w:rPr>
          <w:rFonts w:ascii="Times New Roman" w:hAnsi="Times New Roman" w:cs="Times New Roman"/>
          <w:b w:val="0"/>
          <w:bCs w:val="0"/>
        </w:rPr>
        <w:t xml:space="preserve">отнесения объектов контроля к определенной категории риска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</w:rPr>
      </w:pPr>
      <w: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лесного </w:t>
      </w:r>
      <w:r>
        <w:rPr>
          <w:highlight w:val="white"/>
        </w:rPr>
        <w:t xml:space="preserve">контроля</w:t>
      </w:r>
      <w:r>
        <w:t xml:space="preserve"> подлежат отнесению</w:t>
      </w:r>
      <w:r>
        <w:t xml:space="preserve"> к категориям среднего, умеренного и низкого риска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highlight w:val="white"/>
        </w:rPr>
      </w:pPr>
      <w:r>
        <w:t xml:space="preserve">постановления (решения) </w:t>
      </w:r>
      <w:r>
        <w:t xml:space="preserve">по делу об административном правонарушении, связанного с нарушением обязательных требований, являющихся </w:t>
      </w:r>
      <w:bookmarkStart w:id="1" w:name="_GoBack"/>
      <w:r/>
      <w:bookmarkEnd w:id="1"/>
      <w:r>
        <w:t xml:space="preserve">предметом муниципального</w:t>
      </w:r>
      <w:r>
        <w:t xml:space="preserve"> контроля, ответственность за которое предусмотрена</w:t>
      </w:r>
      <w:r>
        <w:rPr>
          <w:highlight w:val="white"/>
        </w:rPr>
        <w:t xml:space="preserve"> статьей 19.5. Кодекса Российской Федерации об административных правонарушен</w:t>
      </w:r>
      <w:r>
        <w:rPr>
          <w:highlight w:val="white"/>
        </w:rPr>
        <w:t xml:space="preserve">иях;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выданного контрольным органом предписания об устранении выявленных нарушений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3.К категории умеренного риска относятся объекты контроля при наличии в течение последнего года на дату принятия (изменения) решения об отнесении объ</w:t>
      </w:r>
      <w:r>
        <w:t xml:space="preserve">екта контроля к категории риска выданного предостережения о недопустимости нарушения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4.К категории низкого риска относятся объекты контроля, не предусмотренные категориями среднего и умеренного риска.</w:t>
      </w:r>
      <w:r/>
    </w:p>
    <w:p>
      <w:pPr>
        <w:ind w:firstLine="709"/>
        <w:jc w:val="both"/>
        <w:spacing w:line="17" w:lineRule="atLeast"/>
        <w:tabs>
          <w:tab w:val="left" w:pos="709" w:leader="none"/>
        </w:tabs>
      </w:pPr>
      <w:r>
        <w:tab/>
      </w:r>
      <w:r/>
    </w:p>
    <w:p>
      <w:pPr>
        <w:pStyle w:val="97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4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0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6"/>
  </w:num>
  <w:num w:numId="3">
    <w:abstractNumId w:val="33"/>
  </w:num>
  <w:num w:numId="4">
    <w:abstractNumId w:val="32"/>
    <w:lvlOverride w:ilvl="0">
      <w:startOverride w:val="2"/>
    </w:lvlOverride>
  </w:num>
  <w:num w:numId="5">
    <w:abstractNumId w:val="24"/>
  </w:num>
  <w:num w:numId="6">
    <w:abstractNumId w:val="2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21"/>
  </w:num>
  <w:num w:numId="11">
    <w:abstractNumId w:val="31"/>
  </w:num>
  <w:num w:numId="12">
    <w:abstractNumId w:val="27"/>
  </w:num>
  <w:num w:numId="13">
    <w:abstractNumId w:val="2"/>
  </w:num>
  <w:num w:numId="14">
    <w:abstractNumId w:val="10"/>
  </w:num>
  <w:num w:numId="15">
    <w:abstractNumId w:val="36"/>
  </w:num>
  <w:num w:numId="16">
    <w:abstractNumId w:val="12"/>
  </w:num>
  <w:num w:numId="17">
    <w:abstractNumId w:val="5"/>
  </w:num>
  <w:num w:numId="18">
    <w:abstractNumId w:val="25"/>
  </w:num>
  <w:num w:numId="19">
    <w:abstractNumId w:val="0"/>
  </w:num>
  <w:num w:numId="20">
    <w:abstractNumId w:val="35"/>
  </w:num>
  <w:num w:numId="21">
    <w:abstractNumId w:val="3"/>
  </w:num>
  <w:num w:numId="22">
    <w:abstractNumId w:val="23"/>
  </w:num>
  <w:num w:numId="23">
    <w:abstractNumId w:val="34"/>
  </w:num>
  <w:num w:numId="24">
    <w:abstractNumId w:val="26"/>
  </w:num>
  <w:num w:numId="25">
    <w:abstractNumId w:val="15"/>
  </w:num>
  <w:num w:numId="26">
    <w:abstractNumId w:val="1"/>
  </w:num>
  <w:num w:numId="27">
    <w:abstractNumId w:val="42"/>
  </w:num>
  <w:num w:numId="28">
    <w:abstractNumId w:val="40"/>
  </w:num>
  <w:num w:numId="29">
    <w:abstractNumId w:val="41"/>
  </w:num>
  <w:num w:numId="30">
    <w:abstractNumId w:val="11"/>
  </w:num>
  <w:num w:numId="31">
    <w:abstractNumId w:val="14"/>
  </w:num>
  <w:num w:numId="32">
    <w:abstractNumId w:val="7"/>
  </w:num>
  <w:num w:numId="33">
    <w:abstractNumId w:val="4"/>
  </w:num>
  <w:num w:numId="34">
    <w:abstractNumId w:val="17"/>
  </w:num>
  <w:num w:numId="35">
    <w:abstractNumId w:val="39"/>
  </w:num>
  <w:num w:numId="36">
    <w:abstractNumId w:val="37"/>
  </w:num>
  <w:num w:numId="37">
    <w:abstractNumId w:val="38"/>
  </w:num>
  <w:num w:numId="38">
    <w:abstractNumId w:val="18"/>
  </w:num>
  <w:num w:numId="39">
    <w:abstractNumId w:val="9"/>
  </w:num>
  <w:num w:numId="40">
    <w:abstractNumId w:val="13"/>
  </w:num>
  <w:num w:numId="41">
    <w:abstractNumId w:val="28"/>
  </w:num>
  <w:num w:numId="42">
    <w:abstractNumId w:val="19"/>
  </w:num>
  <w:num w:numId="43">
    <w:abstractNumId w:val="2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3 Char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56">
    <w:name w:val="Heading 4 Char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57">
    <w:name w:val="Heading 5 Char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58">
    <w:name w:val="Heading 6 Char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59">
    <w:name w:val="Heading 7 Char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8 Char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61">
    <w:name w:val="Heading 9 Char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779"/>
    <w:link w:val="793"/>
    <w:uiPriority w:val="10"/>
    <w:rPr>
      <w:sz w:val="48"/>
      <w:szCs w:val="48"/>
    </w:rPr>
  </w:style>
  <w:style w:type="character" w:styleId="763">
    <w:name w:val="Subtitle Char"/>
    <w:basedOn w:val="779"/>
    <w:link w:val="795"/>
    <w:uiPriority w:val="11"/>
    <w:rPr>
      <w:sz w:val="24"/>
      <w:szCs w:val="24"/>
    </w:rPr>
  </w:style>
  <w:style w:type="character" w:styleId="764">
    <w:name w:val="Quote Char"/>
    <w:link w:val="797"/>
    <w:uiPriority w:val="29"/>
    <w:rPr>
      <w:i/>
    </w:rPr>
  </w:style>
  <w:style w:type="character" w:styleId="765">
    <w:name w:val="Intense Quote Char"/>
    <w:link w:val="799"/>
    <w:uiPriority w:val="30"/>
    <w:rPr>
      <w:i/>
    </w:rPr>
  </w:style>
  <w:style w:type="character" w:styleId="766">
    <w:name w:val="Caption Char"/>
    <w:basedOn w:val="805"/>
    <w:link w:val="803"/>
    <w:uiPriority w:val="99"/>
  </w:style>
  <w:style w:type="character" w:styleId="767">
    <w:name w:val="Footnote Text Char"/>
    <w:link w:val="934"/>
    <w:uiPriority w:val="99"/>
    <w:rPr>
      <w:sz w:val="18"/>
    </w:rPr>
  </w:style>
  <w:style w:type="character" w:styleId="768">
    <w:name w:val="Endnote Text Char"/>
    <w:link w:val="937"/>
    <w:uiPriority w:val="99"/>
    <w:rPr>
      <w:sz w:val="20"/>
    </w:rPr>
  </w:style>
  <w:style w:type="paragraph" w:styleId="769" w:default="1">
    <w:name w:val="Normal"/>
    <w:qFormat/>
    <w:rPr>
      <w:sz w:val="24"/>
      <w:szCs w:val="24"/>
      <w:lang w:eastAsia="ru-RU"/>
    </w:rPr>
  </w:style>
  <w:style w:type="paragraph" w:styleId="770">
    <w:name w:val="Heading 1"/>
    <w:basedOn w:val="769"/>
    <w:next w:val="769"/>
    <w:link w:val="970"/>
    <w:qFormat/>
    <w:pPr>
      <w:jc w:val="right"/>
      <w:keepNext/>
      <w:outlineLvl w:val="0"/>
    </w:pPr>
    <w:rPr>
      <w:sz w:val="28"/>
    </w:rPr>
  </w:style>
  <w:style w:type="paragraph" w:styleId="771">
    <w:name w:val="Heading 2"/>
    <w:basedOn w:val="769"/>
    <w:next w:val="769"/>
    <w:link w:val="96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72">
    <w:name w:val="Heading 3"/>
    <w:basedOn w:val="769"/>
    <w:next w:val="769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5">
    <w:name w:val="Heading 6"/>
    <w:basedOn w:val="769"/>
    <w:next w:val="76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link w:val="772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69"/>
    <w:uiPriority w:val="34"/>
    <w:qFormat/>
    <w:pPr>
      <w:ind w:left="708"/>
    </w:pPr>
  </w:style>
  <w:style w:type="paragraph" w:styleId="792">
    <w:name w:val="No Spacing"/>
    <w:uiPriority w:val="1"/>
    <w:qFormat/>
  </w:style>
  <w:style w:type="paragraph" w:styleId="793">
    <w:name w:val="Title"/>
    <w:basedOn w:val="769"/>
    <w:next w:val="769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Заголовок Знак"/>
    <w:link w:val="793"/>
    <w:uiPriority w:val="10"/>
    <w:rPr>
      <w:sz w:val="48"/>
      <w:szCs w:val="48"/>
    </w:rPr>
  </w:style>
  <w:style w:type="paragraph" w:styleId="795">
    <w:name w:val="Subtitle"/>
    <w:basedOn w:val="769"/>
    <w:next w:val="769"/>
    <w:link w:val="796"/>
    <w:uiPriority w:val="11"/>
    <w:qFormat/>
    <w:pPr>
      <w:spacing w:before="200" w:after="200"/>
    </w:p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69"/>
    <w:next w:val="769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69"/>
    <w:next w:val="769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69"/>
    <w:link w:val="964"/>
    <w:uiPriority w:val="99"/>
    <w:pPr>
      <w:tabs>
        <w:tab w:val="center" w:pos="4677" w:leader="none"/>
        <w:tab w:val="right" w:pos="9355" w:leader="none"/>
      </w:tabs>
    </w:pPr>
  </w:style>
  <w:style w:type="character" w:styleId="802" w:customStyle="1">
    <w:name w:val="Header Char"/>
    <w:uiPriority w:val="99"/>
  </w:style>
  <w:style w:type="paragraph" w:styleId="803">
    <w:name w:val="Footer"/>
    <w:basedOn w:val="769"/>
    <w:link w:val="965"/>
    <w:pPr>
      <w:tabs>
        <w:tab w:val="center" w:pos="4677" w:leader="none"/>
        <w:tab w:val="right" w:pos="9355" w:leader="none"/>
      </w:tabs>
    </w:pPr>
  </w:style>
  <w:style w:type="character" w:styleId="804" w:customStyle="1">
    <w:name w:val="Footer Char"/>
    <w:uiPriority w:val="99"/>
  </w:style>
  <w:style w:type="paragraph" w:styleId="805">
    <w:name w:val="Caption"/>
    <w:basedOn w:val="769"/>
    <w:next w:val="769"/>
    <w:link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 w:customStyle="1">
    <w:name w:val="Название объекта Знак"/>
    <w:link w:val="805"/>
    <w:uiPriority w:val="35"/>
    <w:rPr>
      <w:b/>
      <w:bCs/>
      <w:color w:val="4f81bd" w:themeColor="accent1"/>
      <w:sz w:val="18"/>
      <w:szCs w:val="18"/>
    </w:rPr>
  </w:style>
  <w:style w:type="table" w:styleId="807">
    <w:name w:val="Table Grid"/>
    <w:basedOn w:val="780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8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3">
    <w:name w:val="Hyperlink"/>
    <w:rPr>
      <w:color w:val="0000ff"/>
      <w:u w:val="single"/>
    </w:rPr>
  </w:style>
  <w:style w:type="paragraph" w:styleId="934">
    <w:name w:val="footnote text"/>
    <w:basedOn w:val="769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rPr>
      <w:rFonts w:cs="Times New Roman"/>
      <w:vertAlign w:val="superscript"/>
    </w:rPr>
  </w:style>
  <w:style w:type="paragraph" w:styleId="937">
    <w:name w:val="endnote text"/>
    <w:basedOn w:val="769"/>
    <w:link w:val="938"/>
    <w:uiPriority w:val="99"/>
    <w:semiHidden/>
    <w:unhideWhenUsed/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69"/>
    <w:next w:val="769"/>
    <w:uiPriority w:val="39"/>
    <w:unhideWhenUsed/>
    <w:pPr>
      <w:spacing w:after="57"/>
    </w:pPr>
  </w:style>
  <w:style w:type="paragraph" w:styleId="941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2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3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4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45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46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47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8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69"/>
    <w:next w:val="769"/>
    <w:uiPriority w:val="99"/>
    <w:unhideWhenUsed/>
  </w:style>
  <w:style w:type="paragraph" w:styleId="951">
    <w:name w:val="Block Text"/>
    <w:basedOn w:val="769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52">
    <w:name w:val="Body Text Indent"/>
    <w:basedOn w:val="769"/>
    <w:link w:val="963"/>
    <w:pPr>
      <w:ind w:firstLine="900"/>
      <w:jc w:val="both"/>
      <w:tabs>
        <w:tab w:val="left" w:pos="1260" w:leader="none"/>
      </w:tabs>
    </w:pPr>
  </w:style>
  <w:style w:type="paragraph" w:styleId="953">
    <w:name w:val="Body Text Indent 2"/>
    <w:basedOn w:val="769"/>
    <w:link w:val="967"/>
    <w:pPr>
      <w:ind w:firstLine="900"/>
      <w:jc w:val="both"/>
    </w:pPr>
    <w:rPr>
      <w:sz w:val="27"/>
    </w:rPr>
  </w:style>
  <w:style w:type="paragraph" w:styleId="954" w:customStyle="1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955">
    <w:name w:val="Balloon Text"/>
    <w:basedOn w:val="769"/>
    <w:semiHidden/>
    <w:rPr>
      <w:rFonts w:ascii="Tahoma" w:hAnsi="Tahoma" w:cs="Tahoma"/>
      <w:sz w:val="16"/>
      <w:szCs w:val="16"/>
    </w:rPr>
  </w:style>
  <w:style w:type="paragraph" w:styleId="956" w:customStyle="1">
    <w:name w:val="ConsNormal"/>
    <w:pPr>
      <w:ind w:firstLine="720"/>
      <w:widowControl w:val="off"/>
    </w:pPr>
    <w:rPr>
      <w:rFonts w:ascii="Arial" w:hAnsi="Arial"/>
      <w:lang w:eastAsia="ru-RU"/>
    </w:rPr>
  </w:style>
  <w:style w:type="paragraph" w:styleId="957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58" w:customStyle="1">
    <w:name w:val="Teimsnuman"/>
    <w:basedOn w:val="956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59" w:customStyle="1">
    <w:name w:val="ConsNonformat"/>
    <w:pPr>
      <w:widowControl w:val="off"/>
    </w:pPr>
    <w:rPr>
      <w:rFonts w:ascii="Courier New" w:hAnsi="Courier New"/>
      <w:lang w:eastAsia="ru-RU"/>
    </w:rPr>
  </w:style>
  <w:style w:type="paragraph" w:styleId="960" w:customStyle="1">
    <w:name w:val="адресат"/>
    <w:basedOn w:val="769"/>
    <w:next w:val="769"/>
    <w:pPr>
      <w:jc w:val="center"/>
    </w:pPr>
    <w:rPr>
      <w:sz w:val="30"/>
      <w:szCs w:val="30"/>
    </w:rPr>
  </w:style>
  <w:style w:type="paragraph" w:styleId="961">
    <w:name w:val="Body Text"/>
    <w:basedOn w:val="769"/>
    <w:pPr>
      <w:spacing w:after="120"/>
    </w:pPr>
  </w:style>
  <w:style w:type="paragraph" w:styleId="962" w:customStyle="1">
    <w:name w:val="Знак Знак Знак Знак"/>
    <w:basedOn w:val="769"/>
    <w:rPr>
      <w:rFonts w:ascii="Verdana" w:hAnsi="Verdana" w:cs="Verdana"/>
      <w:sz w:val="20"/>
      <w:szCs w:val="20"/>
      <w:lang w:val="en-US" w:eastAsia="en-US"/>
    </w:rPr>
  </w:style>
  <w:style w:type="character" w:styleId="963" w:customStyle="1">
    <w:name w:val="Основной текст с отступом Знак"/>
    <w:link w:val="952"/>
    <w:rPr>
      <w:sz w:val="24"/>
      <w:szCs w:val="24"/>
    </w:rPr>
  </w:style>
  <w:style w:type="character" w:styleId="964" w:customStyle="1">
    <w:name w:val="Верхний колонтитул Знак"/>
    <w:link w:val="801"/>
    <w:uiPriority w:val="99"/>
    <w:rPr>
      <w:sz w:val="24"/>
      <w:szCs w:val="24"/>
    </w:rPr>
  </w:style>
  <w:style w:type="character" w:styleId="965" w:customStyle="1">
    <w:name w:val="Нижний колонтитул Знак"/>
    <w:link w:val="803"/>
    <w:rPr>
      <w:sz w:val="24"/>
      <w:szCs w:val="24"/>
    </w:rPr>
  </w:style>
  <w:style w:type="character" w:styleId="966" w:customStyle="1">
    <w:name w:val="Заголовок 2 Знак"/>
    <w:link w:val="771"/>
    <w:rPr>
      <w:rFonts w:ascii="Arial" w:hAnsi="Arial" w:cs="Arial"/>
      <w:b/>
      <w:bCs/>
      <w:i/>
      <w:iCs/>
      <w:sz w:val="28"/>
      <w:szCs w:val="28"/>
    </w:rPr>
  </w:style>
  <w:style w:type="character" w:styleId="967" w:customStyle="1">
    <w:name w:val="Основной текст с отступом 2 Знак"/>
    <w:link w:val="953"/>
    <w:rPr>
      <w:sz w:val="27"/>
      <w:szCs w:val="24"/>
    </w:rPr>
  </w:style>
  <w:style w:type="paragraph" w:styleId="968">
    <w:name w:val="HTML Preformatted"/>
    <w:basedOn w:val="769"/>
    <w:link w:val="969"/>
    <w:rPr>
      <w:rFonts w:ascii="Courier New" w:hAnsi="Courier New" w:cs="Courier New"/>
      <w:sz w:val="20"/>
      <w:szCs w:val="20"/>
    </w:rPr>
  </w:style>
  <w:style w:type="character" w:styleId="969" w:customStyle="1">
    <w:name w:val="Стандартный HTML Знак"/>
    <w:link w:val="968"/>
    <w:rPr>
      <w:rFonts w:ascii="Courier New" w:hAnsi="Courier New" w:cs="Courier New"/>
    </w:rPr>
  </w:style>
  <w:style w:type="character" w:styleId="970" w:customStyle="1">
    <w:name w:val="Заголовок 1 Знак"/>
    <w:link w:val="770"/>
    <w:rPr>
      <w:sz w:val="28"/>
      <w:szCs w:val="24"/>
    </w:rPr>
  </w:style>
  <w:style w:type="paragraph" w:styleId="971" w:customStyle="1">
    <w:name w:val="pcenter"/>
    <w:basedOn w:val="769"/>
    <w:pPr>
      <w:spacing w:before="100" w:beforeAutospacing="1" w:after="100" w:afterAutospacing="1"/>
    </w:pPr>
  </w:style>
  <w:style w:type="table" w:styleId="972" w:customStyle="1">
    <w:name w:val="Сетка таблицы1"/>
    <w:basedOn w:val="780"/>
    <w:next w:val="807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97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74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 Нижневартовска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MilokumovaOA</cp:lastModifiedBy>
  <cp:revision>231</cp:revision>
  <dcterms:created xsi:type="dcterms:W3CDTF">2021-07-02T09:06:00Z</dcterms:created>
  <dcterms:modified xsi:type="dcterms:W3CDTF">2025-05-30T07:08:34Z</dcterms:modified>
  <cp:version>917504</cp:version>
</cp:coreProperties>
</file>